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25770">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22AC2" w14:paraId="380FA3CD" w14:textId="77777777" w:rsidTr="00125770">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3E6419" w:rsidRDefault="000D0268" w:rsidP="00CD5FE2">
            <w:pPr>
              <w:spacing w:line="140" w:lineRule="atLeast"/>
              <w:jc w:val="right"/>
              <w:rPr>
                <w:rFonts w:cs="Arial"/>
                <w:sz w:val="13"/>
                <w:szCs w:val="13"/>
                <w:lang w:val="nb-NO"/>
              </w:rPr>
            </w:pPr>
            <w:r w:rsidRPr="003E6419">
              <w:rPr>
                <w:rFonts w:cs="Arial"/>
                <w:sz w:val="13"/>
                <w:szCs w:val="13"/>
                <w:lang w:val="nb-NO"/>
              </w:rPr>
              <w:t>Online at www.cetjournal.it</w:t>
            </w:r>
          </w:p>
        </w:tc>
      </w:tr>
      <w:tr w:rsidR="000A03B2" w:rsidRPr="00B57B36" w14:paraId="2D1B7169" w14:textId="77777777" w:rsidTr="00125770">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B3670A9" w:rsidR="00E978D0" w:rsidRPr="00B57B36" w:rsidRDefault="00125770" w:rsidP="00E978D0">
      <w:pPr>
        <w:pStyle w:val="CETTitle"/>
      </w:pPr>
      <w:r w:rsidRPr="00125770">
        <w:t>Study on sulfurized vegetable oil type Extreme Pressure additives</w:t>
      </w:r>
    </w:p>
    <w:p w14:paraId="0488FED2" w14:textId="19F76A01" w:rsidR="00B57E6F" w:rsidRPr="00B57B36" w:rsidRDefault="003472F5" w:rsidP="00B57E6F">
      <w:pPr>
        <w:pStyle w:val="CETAuthors"/>
      </w:pPr>
      <w:r w:rsidRPr="003472F5">
        <w:t>Gábor Zoltán NAGY</w:t>
      </w:r>
      <w:r w:rsidR="00B57E6F" w:rsidRPr="00B57B36">
        <w:rPr>
          <w:vertAlign w:val="superscript"/>
        </w:rPr>
        <w:t>a</w:t>
      </w:r>
      <w:r w:rsidR="00B57E6F" w:rsidRPr="00B57B36">
        <w:t xml:space="preserve">, </w:t>
      </w:r>
      <w:r w:rsidR="00F90D30" w:rsidRPr="00F90D30">
        <w:t>Roland NAGY</w:t>
      </w:r>
      <w:r w:rsidR="00B57E6F" w:rsidRPr="00B57B36">
        <w:rPr>
          <w:vertAlign w:val="superscript"/>
        </w:rPr>
        <w:t>b</w:t>
      </w:r>
      <w:r w:rsidR="00045766">
        <w:rPr>
          <w:vertAlign w:val="superscript"/>
        </w:rPr>
        <w:t>,</w:t>
      </w:r>
      <w:r w:rsidR="00FF1E07" w:rsidRPr="00B57B36">
        <w:t>*</w:t>
      </w:r>
    </w:p>
    <w:p w14:paraId="6B2D21B3" w14:textId="268FEF81" w:rsidR="00B57E6F" w:rsidRPr="00B57B36" w:rsidRDefault="00B57E6F" w:rsidP="00B57E6F">
      <w:pPr>
        <w:pStyle w:val="CETAddress"/>
      </w:pPr>
      <w:r w:rsidRPr="00B57B36">
        <w:rPr>
          <w:vertAlign w:val="superscript"/>
        </w:rPr>
        <w:t>a</w:t>
      </w:r>
      <w:r w:rsidR="00497ABB" w:rsidRPr="00497ABB">
        <w:t>University of Pannonia, Faculty of Engineering, Department of MOL Hydrocarbon and Coal Processing</w:t>
      </w:r>
      <w:r w:rsidR="000A1BD8">
        <w:t>;</w:t>
      </w:r>
      <w:r w:rsidR="00497ABB" w:rsidRPr="00497ABB">
        <w:t xml:space="preserve"> </w:t>
      </w:r>
      <w:r w:rsidR="000A1BD8">
        <w:t xml:space="preserve">Egyetem u. 10., </w:t>
      </w:r>
      <w:r w:rsidR="00497ABB" w:rsidRPr="00497ABB">
        <w:t xml:space="preserve">Veszprém, </w:t>
      </w:r>
      <w:r w:rsidR="00497ABB">
        <w:t xml:space="preserve">H-8200, </w:t>
      </w:r>
      <w:r w:rsidR="00497ABB" w:rsidRPr="00497ABB">
        <w:t>Hungary</w:t>
      </w:r>
    </w:p>
    <w:p w14:paraId="3D72B0B0" w14:textId="3B847640" w:rsidR="00B57E6F" w:rsidRPr="00B57B36" w:rsidRDefault="00F010B3" w:rsidP="00B57E6F">
      <w:pPr>
        <w:pStyle w:val="CETAddress"/>
      </w:pPr>
      <w:r w:rsidRPr="00F010B3">
        <w:rPr>
          <w:vertAlign w:val="superscript"/>
        </w:rPr>
        <w:t>b</w:t>
      </w:r>
      <w:r w:rsidR="000A1BD8" w:rsidRPr="00497ABB">
        <w:t>University of Pannonia, Faculty of Engineering, Department of MOL Hydrocarbon and Coal Processing</w:t>
      </w:r>
      <w:r w:rsidR="000A1BD8">
        <w:t>;</w:t>
      </w:r>
      <w:r w:rsidR="000A1BD8" w:rsidRPr="00497ABB">
        <w:t xml:space="preserve"> </w:t>
      </w:r>
      <w:r w:rsidR="000A1BD8">
        <w:t xml:space="preserve">Egyetem u. 10., </w:t>
      </w:r>
      <w:r w:rsidR="000A1BD8" w:rsidRPr="00497ABB">
        <w:t xml:space="preserve">Veszprém, </w:t>
      </w:r>
      <w:r w:rsidR="000A1BD8">
        <w:t xml:space="preserve">H-8200, </w:t>
      </w:r>
      <w:r w:rsidR="000A1BD8" w:rsidRPr="00497ABB">
        <w:t>Hungary</w:t>
      </w:r>
    </w:p>
    <w:p w14:paraId="73F1267A" w14:textId="5EA6AE95" w:rsidR="00B57E6F" w:rsidRPr="000A1BD8" w:rsidRDefault="009F78D4" w:rsidP="00B57E6F">
      <w:pPr>
        <w:pStyle w:val="CETemail"/>
      </w:pPr>
      <w:hyperlink r:id="rId13" w:history="1">
        <w:r w:rsidR="000A1BD8" w:rsidRPr="000A1BD8">
          <w:rPr>
            <w:rStyle w:val="Hiperhivatkozs"/>
          </w:rPr>
          <w:t>nagy.roland.dr@mk.uni-pannon.hu</w:t>
        </w:r>
      </w:hyperlink>
    </w:p>
    <w:p w14:paraId="0BB4B0BC" w14:textId="5A45E4DD" w:rsidR="004C6F93" w:rsidRPr="004C6F93" w:rsidRDefault="004C6F93" w:rsidP="00A36F82">
      <w:pPr>
        <w:pStyle w:val="CETBodytext"/>
        <w:spacing w:after="60"/>
        <w:rPr>
          <w:lang w:val="en-GB"/>
        </w:rPr>
      </w:pPr>
      <w:r w:rsidRPr="004C6F93">
        <w:rPr>
          <w:lang w:val="en-GB"/>
        </w:rPr>
        <w:t xml:space="preserve">Extreme Pressure (EP) additives are commonly used in lubricants to reduce wear and prevent seizures at high </w:t>
      </w:r>
      <w:r w:rsidR="00E36438">
        <w:rPr>
          <w:lang w:val="en-GB"/>
        </w:rPr>
        <w:t>temperatures</w:t>
      </w:r>
      <w:r w:rsidRPr="004C6F93">
        <w:rPr>
          <w:lang w:val="en-GB"/>
        </w:rPr>
        <w:t xml:space="preserve"> and pressure. In terms of their mechanism, these build up a film on the surface with chemisorption. This film efficiently prevents metal-metal adhesion. Industrial statistics show that extreme pressure additives are mostly used in metalworking fluids, lubricating greases and engine oils. Sulfurized vegetable oils can be used as EP additives of lubricants.</w:t>
      </w:r>
    </w:p>
    <w:p w14:paraId="2DECE547" w14:textId="4669E2FA" w:rsidR="004C6F93" w:rsidRPr="004C6F93" w:rsidRDefault="004C6F93" w:rsidP="004C6F93">
      <w:pPr>
        <w:pStyle w:val="CETBodytext"/>
        <w:rPr>
          <w:lang w:val="en-GB"/>
        </w:rPr>
      </w:pPr>
      <w:r w:rsidRPr="004C6F93">
        <w:rPr>
          <w:lang w:val="en-GB"/>
        </w:rPr>
        <w:t>This type of EP additive is ashless, derived from renewable sources and has a lesser negative effect on the environment compared to those that are not derived from vegetable sources. Several technologies for the preparation of additives have been developed, of which the dark sulfurization process has been studied. Several physical and lubricating properties of the obtained additives have been investigated, based on which, it is possible to produce additives with favourable viscosity values and low copper corrosion grade.</w:t>
      </w:r>
    </w:p>
    <w:p w14:paraId="6893AF25" w14:textId="28FCA129" w:rsidR="00600535" w:rsidRDefault="004C6F93" w:rsidP="00E36438">
      <w:pPr>
        <w:pStyle w:val="CETBodytext"/>
        <w:spacing w:before="120"/>
        <w:rPr>
          <w:lang w:val="en-GB"/>
        </w:rPr>
      </w:pPr>
      <w:r w:rsidRPr="004C6F93">
        <w:rPr>
          <w:lang w:val="en-GB"/>
        </w:rPr>
        <w:t xml:space="preserve">Keywords: extreme pressure, additive, vegetable oil, sulfurized </w:t>
      </w:r>
      <w:r w:rsidR="002022DE">
        <w:rPr>
          <w:lang w:val="en-GB"/>
        </w:rPr>
        <w:t xml:space="preserve">vegetable </w:t>
      </w:r>
      <w:r w:rsidRPr="004C6F93">
        <w:rPr>
          <w:lang w:val="en-GB"/>
        </w:rPr>
        <w:t>oil</w:t>
      </w:r>
    </w:p>
    <w:p w14:paraId="7EBF6913" w14:textId="77777777" w:rsidR="00805FAD" w:rsidRPr="00B57B36" w:rsidRDefault="00805FAD" w:rsidP="00E36438">
      <w:pPr>
        <w:pStyle w:val="CETBodytext"/>
        <w:spacing w:before="120"/>
        <w:rPr>
          <w:lang w:val="en-GB"/>
        </w:rPr>
      </w:pPr>
    </w:p>
    <w:p w14:paraId="476B2F2E" w14:textId="77777777" w:rsidR="00600535" w:rsidRPr="00B57B36" w:rsidRDefault="00600535" w:rsidP="00600535">
      <w:pPr>
        <w:pStyle w:val="CETHeading1"/>
        <w:rPr>
          <w:lang w:val="en-GB"/>
        </w:rPr>
      </w:pPr>
      <w:r w:rsidRPr="00B57B36">
        <w:rPr>
          <w:lang w:val="en-GB"/>
        </w:rPr>
        <w:t>Introduction</w:t>
      </w:r>
    </w:p>
    <w:p w14:paraId="41BEFB85" w14:textId="18E0A284" w:rsidR="00940ED0" w:rsidRPr="00940ED0" w:rsidRDefault="00940ED0" w:rsidP="00A36F82">
      <w:pPr>
        <w:pStyle w:val="CETBodytext"/>
        <w:spacing w:after="60"/>
        <w:rPr>
          <w:lang w:val="en-GB"/>
        </w:rPr>
      </w:pPr>
      <w:r w:rsidRPr="00940ED0">
        <w:rPr>
          <w:lang w:val="en-GB"/>
        </w:rPr>
        <w:t xml:space="preserve">Modern lubricants use different additives to improve their different properties or to give them a new, favourable property, thus meeting the quality requirements for the lubricant </w:t>
      </w:r>
      <w:r w:rsidR="00F21003">
        <w:rPr>
          <w:lang w:val="en-GB"/>
        </w:rPr>
        <w:t>(</w:t>
      </w:r>
      <w:r w:rsidR="00BE637E">
        <w:rPr>
          <w:lang w:val="en-GB"/>
        </w:rPr>
        <w:t>Theo</w:t>
      </w:r>
      <w:r w:rsidR="00BE637E" w:rsidRPr="00BE637E">
        <w:rPr>
          <w:lang w:val="en-GB"/>
        </w:rPr>
        <w:t xml:space="preserve"> et al., 20</w:t>
      </w:r>
      <w:r w:rsidR="00F21003">
        <w:rPr>
          <w:lang w:val="en-GB"/>
        </w:rPr>
        <w:t>07)</w:t>
      </w:r>
      <w:r w:rsidRPr="00940ED0">
        <w:rPr>
          <w:lang w:val="en-GB"/>
        </w:rPr>
        <w:t>. There are many types of additives, in addition to EP additives, there are detergent-dispersant additives, corrosion inhibitors, oxidation inhibitors, and others. The purpose of anti-wear and EP additives is to reduce wear and prevent seizures even at very high temperatures and pressures.</w:t>
      </w:r>
    </w:p>
    <w:p w14:paraId="0F562632" w14:textId="350CCB69" w:rsidR="00A5452E" w:rsidRDefault="00940ED0" w:rsidP="00A36F82">
      <w:pPr>
        <w:pStyle w:val="CETBodytext"/>
        <w:spacing w:after="60"/>
        <w:rPr>
          <w:lang w:val="en-GB"/>
        </w:rPr>
      </w:pPr>
      <w:r w:rsidRPr="00940ED0">
        <w:rPr>
          <w:lang w:val="en-GB"/>
        </w:rPr>
        <w:t xml:space="preserve">It is not entirely possible to distinguish between anti-wear and EP additives. The use of an additive in one case has an anti-wear effect, while the use of this additive in another case acts as an EP additive. There are also cases where both effects are exerted by a given additive. The mechanisms of action of the two additive types (Figure 1) are the same and can be grouped according to their activity temperature. Anti-wear additives work at low temperatures, while EP additives work at higher temperatures </w:t>
      </w:r>
      <w:r w:rsidR="00F21003">
        <w:rPr>
          <w:lang w:val="en-GB"/>
        </w:rPr>
        <w:t>(Syed</w:t>
      </w:r>
      <w:r w:rsidR="00F21003" w:rsidRPr="00BE637E">
        <w:rPr>
          <w:lang w:val="en-GB"/>
        </w:rPr>
        <w:t xml:space="preserve"> et al., 20</w:t>
      </w:r>
      <w:r w:rsidR="00F21003">
        <w:rPr>
          <w:lang w:val="en-GB"/>
        </w:rPr>
        <w:t>0</w:t>
      </w:r>
      <w:r w:rsidR="000258A5">
        <w:rPr>
          <w:lang w:val="en-GB"/>
        </w:rPr>
        <w:t>9</w:t>
      </w:r>
      <w:r w:rsidR="00F21003">
        <w:rPr>
          <w:lang w:val="en-GB"/>
        </w:rPr>
        <w:t>)</w:t>
      </w:r>
      <w:r w:rsidRPr="00940ED0">
        <w:rPr>
          <w:lang w:val="en-GB"/>
        </w:rPr>
        <w:t>.</w:t>
      </w:r>
    </w:p>
    <w:p w14:paraId="3B3DAAC1" w14:textId="109653C9" w:rsidR="00940ED0" w:rsidRPr="00B57B36" w:rsidRDefault="00230471" w:rsidP="00544946">
      <w:pPr>
        <w:pStyle w:val="CETCaption"/>
      </w:pPr>
      <w:r>
        <w:rPr>
          <w:noProof/>
        </w:rPr>
        <w:lastRenderedPageBreak/>
        <w:drawing>
          <wp:inline distT="0" distB="0" distL="0" distR="0" wp14:anchorId="6FC992CB" wp14:editId="4B1C4A47">
            <wp:extent cx="3877200" cy="31464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7200" cy="3146400"/>
                    </a:xfrm>
                    <a:prstGeom prst="rect">
                      <a:avLst/>
                    </a:prstGeom>
                    <a:noFill/>
                  </pic:spPr>
                </pic:pic>
              </a:graphicData>
            </a:graphic>
          </wp:inline>
        </w:drawing>
      </w:r>
    </w:p>
    <w:p w14:paraId="47CC8E05" w14:textId="37C8136A" w:rsidR="00940ED0" w:rsidRPr="00BD077D" w:rsidRDefault="00940ED0" w:rsidP="00544946">
      <w:pPr>
        <w:pStyle w:val="CETCaption"/>
      </w:pPr>
      <w:r w:rsidRPr="00BD077D">
        <w:rPr>
          <w:rStyle w:val="CETCaptionCarattere"/>
          <w:i/>
        </w:rPr>
        <w:t xml:space="preserve">Figure 1: </w:t>
      </w:r>
      <w:r w:rsidR="001F34C5" w:rsidRPr="001F34C5">
        <w:rPr>
          <w:rStyle w:val="CETCaptionCarattere"/>
          <w:i/>
        </w:rPr>
        <w:t>The mechanism of action of EP additives on iron metal surfaces</w:t>
      </w:r>
    </w:p>
    <w:p w14:paraId="1AE28F5D" w14:textId="3BCCC4F8" w:rsidR="006277CE" w:rsidRPr="006277CE" w:rsidRDefault="006277CE" w:rsidP="006277CE">
      <w:pPr>
        <w:pStyle w:val="CETBodytext"/>
        <w:rPr>
          <w:lang w:val="en-GB"/>
        </w:rPr>
      </w:pPr>
      <w:r w:rsidRPr="006277CE">
        <w:rPr>
          <w:lang w:val="en-GB"/>
        </w:rPr>
        <w:t xml:space="preserve">EP additives are highly reactive, can impair the oxidation stability of the oil, cause corrosion in non-ferrous metals, and reduce the fatigue resistance of bearings and other equipment </w:t>
      </w:r>
      <w:r w:rsidR="000258A5">
        <w:rPr>
          <w:lang w:val="en-GB"/>
        </w:rPr>
        <w:t>(Pradeep</w:t>
      </w:r>
      <w:r w:rsidR="000258A5" w:rsidRPr="00BE637E">
        <w:rPr>
          <w:lang w:val="en-GB"/>
        </w:rPr>
        <w:t xml:space="preserve"> et al., 20</w:t>
      </w:r>
      <w:r w:rsidR="000258A5">
        <w:rPr>
          <w:lang w:val="en-GB"/>
        </w:rPr>
        <w:t>13)</w:t>
      </w:r>
      <w:r w:rsidRPr="006277CE">
        <w:rPr>
          <w:lang w:val="en-GB"/>
        </w:rPr>
        <w:t>.</w:t>
      </w:r>
    </w:p>
    <w:p w14:paraId="00A2AD1E" w14:textId="69168A27" w:rsidR="006277CE" w:rsidRPr="006277CE" w:rsidRDefault="006277CE" w:rsidP="00A36F82">
      <w:pPr>
        <w:pStyle w:val="CETBodytext"/>
        <w:spacing w:after="60"/>
        <w:rPr>
          <w:lang w:val="en-GB"/>
        </w:rPr>
      </w:pPr>
      <w:r w:rsidRPr="006277CE">
        <w:rPr>
          <w:lang w:val="en-GB"/>
        </w:rPr>
        <w:t xml:space="preserve">EP additives are designed to prevent metal-to-metal adhesion or welding if the natural protective oxide layer between the contact surfaces is removed and other active compounds in the oil are not reactive enough to prevent the protective film from disappearing. This is most often in the case of high-speed, high-load, and/or high-temperature operations </w:t>
      </w:r>
      <w:r w:rsidR="00386B32">
        <w:rPr>
          <w:lang w:val="en-GB"/>
        </w:rPr>
        <w:t>(Vámos</w:t>
      </w:r>
      <w:r w:rsidR="00386B32" w:rsidRPr="00BE637E">
        <w:rPr>
          <w:lang w:val="en-GB"/>
        </w:rPr>
        <w:t xml:space="preserve"> et al., </w:t>
      </w:r>
      <w:r w:rsidR="007E3276">
        <w:rPr>
          <w:lang w:val="en-GB"/>
        </w:rPr>
        <w:t>1983</w:t>
      </w:r>
      <w:r w:rsidR="00386B32">
        <w:rPr>
          <w:lang w:val="en-GB"/>
        </w:rPr>
        <w:t>)</w:t>
      </w:r>
      <w:r w:rsidRPr="006277CE">
        <w:rPr>
          <w:lang w:val="en-GB"/>
        </w:rPr>
        <w:t>.</w:t>
      </w:r>
    </w:p>
    <w:p w14:paraId="7BD81290" w14:textId="4B162C11" w:rsidR="006277CE" w:rsidRPr="006277CE" w:rsidRDefault="006277CE" w:rsidP="00A36F82">
      <w:pPr>
        <w:pStyle w:val="CETBodytext"/>
        <w:spacing w:after="60"/>
        <w:rPr>
          <w:lang w:val="en-GB"/>
        </w:rPr>
      </w:pPr>
      <w:r w:rsidRPr="006277CE">
        <w:rPr>
          <w:lang w:val="en-GB"/>
        </w:rPr>
        <w:t xml:space="preserve">In terms of mechanism of action, these additives work by reacting with the surface of the metal to form a metal compound similar to anti-wear additives, but here the reaction rate is higher, the film formed is thicker and more resistant and the shear strength of the resulting film is lower than metal. EP additives can prevent scratches, abrasion and sticking under </w:t>
      </w:r>
      <w:r w:rsidR="007E3276">
        <w:rPr>
          <w:lang w:val="en-GB"/>
        </w:rPr>
        <w:t>high-speed</w:t>
      </w:r>
      <w:r w:rsidRPr="006277CE">
        <w:rPr>
          <w:lang w:val="en-GB"/>
        </w:rPr>
        <w:t xml:space="preserve"> and impact loads</w:t>
      </w:r>
      <w:r w:rsidR="00386B32">
        <w:rPr>
          <w:lang w:val="en-GB"/>
        </w:rPr>
        <w:t xml:space="preserve"> (Leslie</w:t>
      </w:r>
      <w:r w:rsidR="00386B32" w:rsidRPr="00BE637E">
        <w:rPr>
          <w:lang w:val="en-GB"/>
        </w:rPr>
        <w:t xml:space="preserve"> et al., 20</w:t>
      </w:r>
      <w:r w:rsidR="00386B32">
        <w:rPr>
          <w:lang w:val="en-GB"/>
        </w:rPr>
        <w:t>17)</w:t>
      </w:r>
      <w:r w:rsidRPr="006277CE">
        <w:rPr>
          <w:lang w:val="en-GB"/>
        </w:rPr>
        <w:t xml:space="preserve">. During use, EP additives deplete and the surface of the metals wears evenly, resulting in a smoother surface, thus increasing the chances of hydrodynamic lubrication, resulting in less local stress and lower friction </w:t>
      </w:r>
      <w:r w:rsidR="007E3276">
        <w:rPr>
          <w:lang w:val="en-GB"/>
        </w:rPr>
        <w:t>(Theo</w:t>
      </w:r>
      <w:r w:rsidR="007E3276" w:rsidRPr="00BE637E">
        <w:rPr>
          <w:lang w:val="en-GB"/>
        </w:rPr>
        <w:t xml:space="preserve"> et al., 20</w:t>
      </w:r>
      <w:r w:rsidR="007E3276">
        <w:rPr>
          <w:lang w:val="en-GB"/>
        </w:rPr>
        <w:t>11).</w:t>
      </w:r>
    </w:p>
    <w:p w14:paraId="2B4D2722" w14:textId="6592628C" w:rsidR="006277CE" w:rsidRPr="006277CE" w:rsidRDefault="006277CE" w:rsidP="00A36F82">
      <w:pPr>
        <w:pStyle w:val="CETBodytext"/>
        <w:spacing w:after="60"/>
        <w:rPr>
          <w:lang w:val="en-GB"/>
        </w:rPr>
      </w:pPr>
      <w:r w:rsidRPr="006277CE">
        <w:rPr>
          <w:lang w:val="en-GB"/>
        </w:rPr>
        <w:t xml:space="preserve">Both anti-wear and EP additives are available in a wide range, but their selection must consider, among other things, economic considerations, the oil solubility, and the oxidative stability-reducing effect of the additive </w:t>
      </w:r>
      <w:r w:rsidR="007E3276">
        <w:rPr>
          <w:lang w:val="en-GB"/>
        </w:rPr>
        <w:t>(Don</w:t>
      </w:r>
      <w:r w:rsidR="007E3276" w:rsidRPr="00BE637E">
        <w:rPr>
          <w:lang w:val="en-GB"/>
        </w:rPr>
        <w:t xml:space="preserve"> et al., 20</w:t>
      </w:r>
      <w:r w:rsidR="007E3276">
        <w:rPr>
          <w:lang w:val="en-GB"/>
        </w:rPr>
        <w:t>07)</w:t>
      </w:r>
      <w:r w:rsidRPr="006277CE">
        <w:rPr>
          <w:lang w:val="en-GB"/>
        </w:rPr>
        <w:t>.</w:t>
      </w:r>
    </w:p>
    <w:p w14:paraId="49E31C4B" w14:textId="6BB22882" w:rsidR="006277CE" w:rsidRDefault="006277CE" w:rsidP="00A36F82">
      <w:pPr>
        <w:pStyle w:val="CETBodytext"/>
        <w:spacing w:after="60"/>
        <w:rPr>
          <w:lang w:val="en-GB"/>
        </w:rPr>
      </w:pPr>
      <w:r w:rsidRPr="006277CE">
        <w:rPr>
          <w:lang w:val="en-GB"/>
        </w:rPr>
        <w:t xml:space="preserve">The preparation of sulfurized EP additives requires, above all, a sulfurizable compound and a sulfurizing compound. The selectivity of the reaction can be improved by using a catalyst. Compounds containing one or more double bonds are used as sulfurizable compounds. These include vegetable oils, fatty acids and fatty acid esters, as well as olefins, acrylates and methacrylates. Orthorhombic elemental sulfur and hydrogen sulfide are widely used as sulfurizing compounds. In addition, other sulfur donors containing bounded sulfur, such as mercaptans, can be used </w:t>
      </w:r>
      <w:r w:rsidR="006C031A">
        <w:rPr>
          <w:lang w:val="en-GB"/>
        </w:rPr>
        <w:t>(Leslie</w:t>
      </w:r>
      <w:r w:rsidR="006C031A" w:rsidRPr="00BE637E">
        <w:rPr>
          <w:lang w:val="en-GB"/>
        </w:rPr>
        <w:t xml:space="preserve"> et al., 20</w:t>
      </w:r>
      <w:r w:rsidR="006C031A">
        <w:rPr>
          <w:lang w:val="en-GB"/>
        </w:rPr>
        <w:t>17).</w:t>
      </w:r>
    </w:p>
    <w:p w14:paraId="4E1E706F" w14:textId="179D8217" w:rsidR="00640992" w:rsidRDefault="004E651D" w:rsidP="00640992">
      <w:pPr>
        <w:pStyle w:val="CETBodytext"/>
        <w:spacing w:after="60"/>
        <w:rPr>
          <w:lang w:val="en-GB"/>
        </w:rPr>
      </w:pPr>
      <w:r>
        <w:rPr>
          <w:lang w:val="en-GB"/>
        </w:rPr>
        <w:t>The</w:t>
      </w:r>
      <w:r w:rsidR="00640992" w:rsidRPr="006277CE">
        <w:rPr>
          <w:lang w:val="en-GB"/>
        </w:rPr>
        <w:t xml:space="preserve"> current phase of the research</w:t>
      </w:r>
      <w:r>
        <w:rPr>
          <w:lang w:val="en-GB"/>
        </w:rPr>
        <w:t xml:space="preserve"> is aimed</w:t>
      </w:r>
      <w:r w:rsidR="00640992" w:rsidRPr="006277CE">
        <w:rPr>
          <w:lang w:val="en-GB"/>
        </w:rPr>
        <w:t xml:space="preserve"> to examine the range of </w:t>
      </w:r>
      <w:r w:rsidR="00640992">
        <w:rPr>
          <w:lang w:val="en-GB"/>
        </w:rPr>
        <w:t>sulfur donors</w:t>
      </w:r>
      <w:r w:rsidR="00640992" w:rsidRPr="006277CE">
        <w:rPr>
          <w:lang w:val="en-GB"/>
        </w:rPr>
        <w:t xml:space="preserve"> that can be used for the production of sulfurized vegetable oil additives based on literature data and to compare them based on properties that have key importance for the synthesis of EP additives. Furthermore, </w:t>
      </w:r>
      <w:r w:rsidR="00A97A9F">
        <w:rPr>
          <w:lang w:val="en-GB"/>
        </w:rPr>
        <w:t>the main</w:t>
      </w:r>
      <w:r w:rsidR="00640992" w:rsidRPr="006277CE">
        <w:rPr>
          <w:lang w:val="en-GB"/>
        </w:rPr>
        <w:t xml:space="preserve"> </w:t>
      </w:r>
      <w:r w:rsidR="00A97A9F">
        <w:rPr>
          <w:lang w:val="en-GB"/>
        </w:rPr>
        <w:t>objective</w:t>
      </w:r>
      <w:r w:rsidR="00640992" w:rsidRPr="006277CE">
        <w:rPr>
          <w:lang w:val="en-GB"/>
        </w:rPr>
        <w:t xml:space="preserve"> was to select </w:t>
      </w:r>
      <w:r w:rsidR="00640992">
        <w:rPr>
          <w:lang w:val="en-GB"/>
        </w:rPr>
        <w:t>sulfur donor</w:t>
      </w:r>
      <w:r w:rsidR="00640992" w:rsidRPr="006277CE">
        <w:rPr>
          <w:lang w:val="en-GB"/>
        </w:rPr>
        <w:t>s that can be used with favourable results for the production of EP additives based on sulfurized vegetable oils.</w:t>
      </w:r>
      <w:r w:rsidR="00A97A9F">
        <w:rPr>
          <w:lang w:val="en-GB"/>
        </w:rPr>
        <w:t xml:space="preserve"> </w:t>
      </w:r>
      <w:r w:rsidR="00855CB6">
        <w:rPr>
          <w:lang w:val="en-GB"/>
        </w:rPr>
        <w:t xml:space="preserve">The minimum achievable weld load value was set to 2 000 N and the maximum occurred scar diameter was set to </w:t>
      </w:r>
      <w:r w:rsidR="00796286">
        <w:rPr>
          <w:lang w:val="en-GB"/>
        </w:rPr>
        <w:t>0.50 mm.</w:t>
      </w:r>
    </w:p>
    <w:p w14:paraId="5741900F" w14:textId="3555B978" w:rsidR="00453E24" w:rsidRDefault="00D26FDD" w:rsidP="00A62C20">
      <w:pPr>
        <w:pStyle w:val="CETHeading1"/>
        <w:pageBreakBefore/>
      </w:pPr>
      <w:r>
        <w:lastRenderedPageBreak/>
        <w:t>Materials</w:t>
      </w:r>
    </w:p>
    <w:p w14:paraId="09406386" w14:textId="123900BA" w:rsidR="00350071" w:rsidRDefault="00CC1E7B" w:rsidP="00A36F82">
      <w:pPr>
        <w:pStyle w:val="CETBodytext"/>
        <w:spacing w:after="60"/>
      </w:pPr>
      <w:r w:rsidRPr="00CC1E7B">
        <w:t>Tables 1-2 contain the data of the raw materials (vegetable oil and sulfur donors) used for the EP additives synthesis.</w:t>
      </w:r>
    </w:p>
    <w:p w14:paraId="3C5B8C84" w14:textId="7B4EDE35" w:rsidR="00CC1E7B" w:rsidRPr="00B57B36" w:rsidRDefault="00CC1E7B" w:rsidP="00A62C20">
      <w:pPr>
        <w:pStyle w:val="CETTabletitle"/>
        <w:spacing w:before="120"/>
      </w:pPr>
      <w:r w:rsidRPr="00B57B36">
        <w:t xml:space="preserve">Table 1: </w:t>
      </w:r>
      <w:r w:rsidR="00705228" w:rsidRPr="00705228">
        <w:t>Characteristics of the vegetable oil used for the synthesis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2835"/>
      </w:tblGrid>
      <w:tr w:rsidR="00D26066" w:rsidRPr="00B57B36" w14:paraId="3EB7DE42" w14:textId="77777777" w:rsidTr="00D22CF2">
        <w:tc>
          <w:tcPr>
            <w:tcW w:w="2835" w:type="dxa"/>
            <w:tcBorders>
              <w:top w:val="single" w:sz="12" w:space="0" w:color="008000"/>
              <w:bottom w:val="single" w:sz="6" w:space="0" w:color="008000"/>
            </w:tcBorders>
            <w:shd w:val="clear" w:color="auto" w:fill="FFFFFF"/>
            <w:vAlign w:val="center"/>
          </w:tcPr>
          <w:p w14:paraId="1F2A74BA" w14:textId="2F12236B" w:rsidR="00D26066" w:rsidRPr="00B57B36" w:rsidRDefault="00D424CF" w:rsidP="00D22CF2">
            <w:pPr>
              <w:pStyle w:val="CETBodytext"/>
              <w:jc w:val="left"/>
              <w:rPr>
                <w:lang w:val="en-GB"/>
              </w:rPr>
            </w:pPr>
            <w:r w:rsidRPr="00D424CF">
              <w:rPr>
                <w:lang w:val="en-GB"/>
              </w:rPr>
              <w:t>Properties</w:t>
            </w:r>
          </w:p>
        </w:tc>
        <w:tc>
          <w:tcPr>
            <w:tcW w:w="2835" w:type="dxa"/>
            <w:tcBorders>
              <w:top w:val="single" w:sz="12" w:space="0" w:color="008000"/>
              <w:bottom w:val="single" w:sz="6" w:space="0" w:color="008000"/>
            </w:tcBorders>
            <w:shd w:val="clear" w:color="auto" w:fill="FFFFFF"/>
            <w:vAlign w:val="center"/>
          </w:tcPr>
          <w:p w14:paraId="3ACCD611" w14:textId="77D50682" w:rsidR="00D26066" w:rsidRPr="00B57B36" w:rsidRDefault="00D424CF" w:rsidP="00D22CF2">
            <w:pPr>
              <w:pStyle w:val="CETBodytext"/>
              <w:jc w:val="left"/>
              <w:rPr>
                <w:lang w:val="en-GB"/>
              </w:rPr>
            </w:pPr>
            <w:r>
              <w:rPr>
                <w:lang w:val="en-GB"/>
              </w:rPr>
              <w:t>Rapeseed oil</w:t>
            </w:r>
          </w:p>
        </w:tc>
      </w:tr>
      <w:tr w:rsidR="00D26066" w:rsidRPr="00B57B36" w14:paraId="51118715" w14:textId="77777777" w:rsidTr="00D22CF2">
        <w:tc>
          <w:tcPr>
            <w:tcW w:w="2835" w:type="dxa"/>
            <w:shd w:val="clear" w:color="auto" w:fill="FFFFFF"/>
            <w:vAlign w:val="center"/>
          </w:tcPr>
          <w:p w14:paraId="2ED66E62" w14:textId="36551533" w:rsidR="00D26066" w:rsidRPr="00B57B36" w:rsidRDefault="00D26066" w:rsidP="00D22CF2">
            <w:pPr>
              <w:pStyle w:val="CETBodytext"/>
              <w:jc w:val="left"/>
              <w:rPr>
                <w:lang w:val="en-GB"/>
              </w:rPr>
            </w:pPr>
            <w:r w:rsidRPr="009B75FC">
              <w:rPr>
                <w:lang w:val="en-GB"/>
              </w:rPr>
              <w:t>Trade name</w:t>
            </w:r>
          </w:p>
        </w:tc>
        <w:tc>
          <w:tcPr>
            <w:tcW w:w="2835" w:type="dxa"/>
            <w:shd w:val="clear" w:color="auto" w:fill="FFFFFF"/>
            <w:vAlign w:val="center"/>
          </w:tcPr>
          <w:p w14:paraId="7355685C" w14:textId="4EF3CB07" w:rsidR="00D26066" w:rsidRPr="00B57B36" w:rsidRDefault="00D26066" w:rsidP="00D22CF2">
            <w:pPr>
              <w:pStyle w:val="CETBodytext"/>
              <w:jc w:val="left"/>
              <w:rPr>
                <w:lang w:val="en-GB"/>
              </w:rPr>
            </w:pPr>
            <w:r w:rsidRPr="000C6789">
              <w:rPr>
                <w:lang w:val="en-GB"/>
              </w:rPr>
              <w:t>Refined rapeseed oil</w:t>
            </w:r>
          </w:p>
        </w:tc>
      </w:tr>
      <w:tr w:rsidR="00D26066" w:rsidRPr="00B57B36" w14:paraId="4BB788E3" w14:textId="77777777" w:rsidTr="00D22CF2">
        <w:tc>
          <w:tcPr>
            <w:tcW w:w="2835" w:type="dxa"/>
            <w:shd w:val="clear" w:color="auto" w:fill="FFFFFF"/>
            <w:vAlign w:val="center"/>
          </w:tcPr>
          <w:p w14:paraId="28780DD7" w14:textId="0514E69D" w:rsidR="00D26066" w:rsidRPr="00B57B36" w:rsidRDefault="00D26066" w:rsidP="00D22CF2">
            <w:pPr>
              <w:pStyle w:val="CETBodytext"/>
              <w:ind w:right="-1"/>
              <w:jc w:val="left"/>
              <w:rPr>
                <w:rFonts w:cs="Arial"/>
                <w:szCs w:val="18"/>
                <w:lang w:val="en-GB"/>
              </w:rPr>
            </w:pPr>
            <w:r w:rsidRPr="000C54CD">
              <w:rPr>
                <w:rFonts w:cs="Arial"/>
                <w:szCs w:val="18"/>
                <w:lang w:val="en-GB"/>
              </w:rPr>
              <w:t>Producer or distributor</w:t>
            </w:r>
          </w:p>
        </w:tc>
        <w:tc>
          <w:tcPr>
            <w:tcW w:w="2835" w:type="dxa"/>
            <w:shd w:val="clear" w:color="auto" w:fill="FFFFFF"/>
            <w:vAlign w:val="center"/>
          </w:tcPr>
          <w:p w14:paraId="20B7C973" w14:textId="1F4F4514" w:rsidR="00D26066" w:rsidRPr="00B57B36" w:rsidRDefault="00D26066" w:rsidP="00D22CF2">
            <w:pPr>
              <w:pStyle w:val="CETBodytext"/>
              <w:ind w:right="-1"/>
              <w:jc w:val="left"/>
              <w:rPr>
                <w:rFonts w:cs="Arial"/>
                <w:szCs w:val="18"/>
                <w:lang w:val="en-GB"/>
              </w:rPr>
            </w:pPr>
            <w:r w:rsidRPr="006B2826">
              <w:rPr>
                <w:rFonts w:cs="Arial"/>
                <w:szCs w:val="18"/>
                <w:lang w:val="en-GB"/>
              </w:rPr>
              <w:t>Bunge Ltd.</w:t>
            </w:r>
          </w:p>
        </w:tc>
      </w:tr>
      <w:tr w:rsidR="00D26066" w:rsidRPr="00B57B36" w14:paraId="5E823CE7" w14:textId="77777777" w:rsidTr="00D22CF2">
        <w:tc>
          <w:tcPr>
            <w:tcW w:w="2835" w:type="dxa"/>
            <w:shd w:val="clear" w:color="auto" w:fill="FFFFFF"/>
            <w:vAlign w:val="center"/>
          </w:tcPr>
          <w:p w14:paraId="415EDC1F" w14:textId="5526F85B" w:rsidR="00D26066" w:rsidRPr="00B57B36" w:rsidRDefault="00D26066" w:rsidP="00D22CF2">
            <w:pPr>
              <w:pStyle w:val="CETBodytext"/>
              <w:ind w:right="-1"/>
              <w:jc w:val="left"/>
              <w:rPr>
                <w:rFonts w:cs="Arial"/>
                <w:szCs w:val="18"/>
                <w:lang w:val="en-GB"/>
              </w:rPr>
            </w:pPr>
            <w:r w:rsidRPr="00BD3481">
              <w:rPr>
                <w:rFonts w:cs="Arial"/>
                <w:szCs w:val="18"/>
                <w:lang w:val="en-GB"/>
              </w:rPr>
              <w:t>Area of application</w:t>
            </w:r>
          </w:p>
        </w:tc>
        <w:tc>
          <w:tcPr>
            <w:tcW w:w="2835" w:type="dxa"/>
            <w:shd w:val="clear" w:color="auto" w:fill="FFFFFF"/>
            <w:vAlign w:val="center"/>
          </w:tcPr>
          <w:p w14:paraId="6F2F6840" w14:textId="744D8D20" w:rsidR="00D26066" w:rsidRPr="00B57B36" w:rsidRDefault="00D26066" w:rsidP="00D22CF2">
            <w:pPr>
              <w:pStyle w:val="CETBodytext"/>
              <w:ind w:right="-1"/>
              <w:jc w:val="left"/>
              <w:rPr>
                <w:rFonts w:cs="Arial"/>
                <w:szCs w:val="18"/>
                <w:lang w:val="en-GB"/>
              </w:rPr>
            </w:pPr>
            <w:r w:rsidRPr="00651D1A">
              <w:rPr>
                <w:rFonts w:cs="Arial"/>
                <w:szCs w:val="18"/>
                <w:lang w:val="en-GB"/>
              </w:rPr>
              <w:t xml:space="preserve">food industry, </w:t>
            </w:r>
            <w:r>
              <w:rPr>
                <w:rFonts w:cs="Arial"/>
                <w:szCs w:val="18"/>
                <w:lang w:val="en-GB"/>
              </w:rPr>
              <w:t>bio</w:t>
            </w:r>
            <w:r w:rsidRPr="00651D1A">
              <w:rPr>
                <w:rFonts w:cs="Arial"/>
                <w:szCs w:val="18"/>
                <w:lang w:val="en-GB"/>
              </w:rPr>
              <w:t>fuels</w:t>
            </w:r>
          </w:p>
        </w:tc>
      </w:tr>
      <w:tr w:rsidR="00D26066" w:rsidRPr="00B57B36" w14:paraId="1682EC90" w14:textId="77777777" w:rsidTr="00D22CF2">
        <w:tc>
          <w:tcPr>
            <w:tcW w:w="2835" w:type="dxa"/>
            <w:shd w:val="clear" w:color="auto" w:fill="FFFFFF"/>
            <w:vAlign w:val="center"/>
          </w:tcPr>
          <w:p w14:paraId="5590B044" w14:textId="3FC7F83A" w:rsidR="00D26066" w:rsidRPr="00B57B36" w:rsidRDefault="00D26066" w:rsidP="00D22CF2">
            <w:pPr>
              <w:pStyle w:val="CETBodytext"/>
              <w:ind w:right="-1"/>
              <w:jc w:val="left"/>
              <w:rPr>
                <w:rFonts w:cs="Arial"/>
                <w:szCs w:val="18"/>
                <w:lang w:val="en-GB"/>
              </w:rPr>
            </w:pPr>
            <w:r w:rsidRPr="00390E23">
              <w:rPr>
                <w:rFonts w:cs="Arial"/>
                <w:szCs w:val="18"/>
                <w:lang w:val="en-GB"/>
              </w:rPr>
              <w:t>Purity, %</w:t>
            </w:r>
          </w:p>
        </w:tc>
        <w:tc>
          <w:tcPr>
            <w:tcW w:w="2835" w:type="dxa"/>
            <w:shd w:val="clear" w:color="auto" w:fill="FFFFFF"/>
            <w:vAlign w:val="center"/>
          </w:tcPr>
          <w:p w14:paraId="2AC70A0E" w14:textId="0CFB810D" w:rsidR="00D26066" w:rsidRPr="00B57B36" w:rsidRDefault="00D26066" w:rsidP="00D22CF2">
            <w:pPr>
              <w:pStyle w:val="CETBodytext"/>
              <w:ind w:right="-1"/>
              <w:jc w:val="left"/>
              <w:rPr>
                <w:rFonts w:cs="Arial"/>
                <w:szCs w:val="18"/>
                <w:lang w:val="en-GB"/>
              </w:rPr>
            </w:pPr>
            <w:r>
              <w:rPr>
                <w:rFonts w:cs="Arial"/>
                <w:szCs w:val="18"/>
                <w:lang w:val="en-GB"/>
              </w:rPr>
              <w:t>99.8%</w:t>
            </w:r>
          </w:p>
        </w:tc>
      </w:tr>
    </w:tbl>
    <w:p w14:paraId="7568EB01" w14:textId="682A5F46" w:rsidR="00350071" w:rsidRPr="00B57B36" w:rsidRDefault="00350071" w:rsidP="00A62C20">
      <w:pPr>
        <w:pStyle w:val="CETTabletitle"/>
        <w:spacing w:before="120"/>
      </w:pPr>
      <w:bookmarkStart w:id="0" w:name="_Hlk130236065"/>
      <w:r w:rsidRPr="00B57B36">
        <w:t xml:space="preserve">Table </w:t>
      </w:r>
      <w:r>
        <w:t>2</w:t>
      </w:r>
      <w:r w:rsidRPr="00B57B36">
        <w:t xml:space="preserve">: </w:t>
      </w:r>
      <w:r w:rsidR="009B0694" w:rsidRPr="009B0694">
        <w:t>Characteristics of the sulfur donors used for the synthesis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13"/>
        <w:gridCol w:w="2302"/>
        <w:gridCol w:w="2086"/>
        <w:gridCol w:w="2086"/>
      </w:tblGrid>
      <w:tr w:rsidR="009B0694" w:rsidRPr="00B57B36" w14:paraId="2ABFF245" w14:textId="40C158ED" w:rsidTr="00D22CF2">
        <w:tc>
          <w:tcPr>
            <w:tcW w:w="2313" w:type="dxa"/>
            <w:tcBorders>
              <w:top w:val="single" w:sz="12" w:space="0" w:color="008000"/>
              <w:bottom w:val="single" w:sz="6" w:space="0" w:color="008000"/>
            </w:tcBorders>
            <w:shd w:val="clear" w:color="auto" w:fill="FFFFFF"/>
            <w:vAlign w:val="center"/>
          </w:tcPr>
          <w:p w14:paraId="550C6E7D" w14:textId="77777777" w:rsidR="009B0694" w:rsidRPr="00B57B36" w:rsidRDefault="009B0694" w:rsidP="00D22CF2">
            <w:pPr>
              <w:pStyle w:val="CETBodytext"/>
              <w:jc w:val="left"/>
              <w:rPr>
                <w:lang w:val="en-GB"/>
              </w:rPr>
            </w:pPr>
            <w:r w:rsidRPr="00D424CF">
              <w:rPr>
                <w:lang w:val="en-GB"/>
              </w:rPr>
              <w:t>Properties</w:t>
            </w:r>
          </w:p>
        </w:tc>
        <w:tc>
          <w:tcPr>
            <w:tcW w:w="2302" w:type="dxa"/>
            <w:tcBorders>
              <w:top w:val="single" w:sz="12" w:space="0" w:color="008000"/>
              <w:bottom w:val="single" w:sz="6" w:space="0" w:color="008000"/>
            </w:tcBorders>
            <w:shd w:val="clear" w:color="auto" w:fill="FFFFFF"/>
            <w:vAlign w:val="center"/>
          </w:tcPr>
          <w:p w14:paraId="58F78541" w14:textId="198F4536" w:rsidR="009B0694" w:rsidRPr="00B57B36" w:rsidRDefault="009B0694" w:rsidP="00D22CF2">
            <w:pPr>
              <w:pStyle w:val="CETBodytext"/>
              <w:jc w:val="left"/>
              <w:rPr>
                <w:lang w:val="en-GB"/>
              </w:rPr>
            </w:pPr>
            <w:r>
              <w:rPr>
                <w:lang w:val="en-GB"/>
              </w:rPr>
              <w:t>Sulfur</w:t>
            </w:r>
          </w:p>
        </w:tc>
        <w:tc>
          <w:tcPr>
            <w:tcW w:w="2086" w:type="dxa"/>
            <w:tcBorders>
              <w:top w:val="single" w:sz="12" w:space="0" w:color="008000"/>
              <w:bottom w:val="single" w:sz="6" w:space="0" w:color="008000"/>
            </w:tcBorders>
            <w:shd w:val="clear" w:color="auto" w:fill="FFFFFF"/>
            <w:vAlign w:val="center"/>
          </w:tcPr>
          <w:p w14:paraId="783449C8" w14:textId="666B4ED2" w:rsidR="009B0694" w:rsidRDefault="009B0694" w:rsidP="00D22CF2">
            <w:pPr>
              <w:pStyle w:val="CETBodytext"/>
              <w:jc w:val="left"/>
              <w:rPr>
                <w:lang w:val="en-GB"/>
              </w:rPr>
            </w:pPr>
            <w:r>
              <w:rPr>
                <w:lang w:val="en-GB"/>
              </w:rPr>
              <w:t>Ter</w:t>
            </w:r>
            <w:r w:rsidR="005B4F16">
              <w:rPr>
                <w:lang w:val="en-GB"/>
              </w:rPr>
              <w:t>t</w:t>
            </w:r>
            <w:r>
              <w:rPr>
                <w:lang w:val="en-GB"/>
              </w:rPr>
              <w:t>-alkyl-thiol</w:t>
            </w:r>
          </w:p>
        </w:tc>
        <w:tc>
          <w:tcPr>
            <w:tcW w:w="2086" w:type="dxa"/>
            <w:tcBorders>
              <w:top w:val="single" w:sz="12" w:space="0" w:color="008000"/>
              <w:bottom w:val="single" w:sz="6" w:space="0" w:color="008000"/>
            </w:tcBorders>
            <w:shd w:val="clear" w:color="auto" w:fill="FFFFFF"/>
            <w:vAlign w:val="center"/>
          </w:tcPr>
          <w:p w14:paraId="547D4321" w14:textId="088F27C1" w:rsidR="009B0694" w:rsidRDefault="009B0694" w:rsidP="00D22CF2">
            <w:pPr>
              <w:pStyle w:val="CETBodytext"/>
              <w:jc w:val="left"/>
              <w:rPr>
                <w:lang w:val="en-GB"/>
              </w:rPr>
            </w:pPr>
            <w:r>
              <w:rPr>
                <w:lang w:val="en-GB"/>
              </w:rPr>
              <w:t>Thi</w:t>
            </w:r>
            <w:r w:rsidR="007E1767">
              <w:rPr>
                <w:lang w:val="en-GB"/>
              </w:rPr>
              <w:t>oamide</w:t>
            </w:r>
          </w:p>
        </w:tc>
      </w:tr>
      <w:tr w:rsidR="00715705" w:rsidRPr="00B57B36" w14:paraId="5130706D" w14:textId="40C0C665" w:rsidTr="00D22CF2">
        <w:tc>
          <w:tcPr>
            <w:tcW w:w="2313" w:type="dxa"/>
            <w:vAlign w:val="center"/>
          </w:tcPr>
          <w:p w14:paraId="20BE0ADF" w14:textId="1CB87D93" w:rsidR="00715705" w:rsidRPr="00B57B36" w:rsidRDefault="00715705" w:rsidP="00D22CF2">
            <w:pPr>
              <w:pStyle w:val="CETBodytext"/>
              <w:jc w:val="left"/>
              <w:rPr>
                <w:lang w:val="en-GB"/>
              </w:rPr>
            </w:pPr>
            <w:r>
              <w:rPr>
                <w:color w:val="000000"/>
              </w:rPr>
              <w:t>Consistency</w:t>
            </w:r>
          </w:p>
        </w:tc>
        <w:tc>
          <w:tcPr>
            <w:tcW w:w="2302" w:type="dxa"/>
            <w:vAlign w:val="center"/>
          </w:tcPr>
          <w:p w14:paraId="35B3E3A1" w14:textId="3431E6A7" w:rsidR="00715705" w:rsidRPr="00B57B36" w:rsidRDefault="00715705" w:rsidP="00D22CF2">
            <w:pPr>
              <w:pStyle w:val="CETBodytext"/>
              <w:jc w:val="left"/>
              <w:rPr>
                <w:lang w:val="en-GB"/>
              </w:rPr>
            </w:pPr>
            <w:r w:rsidRPr="00ED001E">
              <w:rPr>
                <w:lang w:val="en-GB"/>
              </w:rPr>
              <w:t>solid</w:t>
            </w:r>
          </w:p>
        </w:tc>
        <w:tc>
          <w:tcPr>
            <w:tcW w:w="2086" w:type="dxa"/>
            <w:vAlign w:val="center"/>
          </w:tcPr>
          <w:p w14:paraId="39141CD1" w14:textId="47E3F832" w:rsidR="00715705" w:rsidRPr="000C6789" w:rsidRDefault="00715705" w:rsidP="00D22CF2">
            <w:pPr>
              <w:pStyle w:val="CETBodytext"/>
              <w:jc w:val="left"/>
              <w:rPr>
                <w:lang w:val="en-GB"/>
              </w:rPr>
            </w:pPr>
            <w:r>
              <w:rPr>
                <w:lang w:val="en-GB"/>
              </w:rPr>
              <w:t>liquid</w:t>
            </w:r>
          </w:p>
        </w:tc>
        <w:tc>
          <w:tcPr>
            <w:tcW w:w="2086" w:type="dxa"/>
            <w:vAlign w:val="center"/>
          </w:tcPr>
          <w:p w14:paraId="3E87DE05" w14:textId="0294491C" w:rsidR="00715705" w:rsidRPr="000C6789" w:rsidRDefault="00715705" w:rsidP="00D22CF2">
            <w:pPr>
              <w:pStyle w:val="CETBodytext"/>
              <w:jc w:val="left"/>
              <w:rPr>
                <w:lang w:val="en-GB"/>
              </w:rPr>
            </w:pPr>
            <w:r w:rsidRPr="00ED001E">
              <w:rPr>
                <w:lang w:val="en-GB"/>
              </w:rPr>
              <w:t>solid</w:t>
            </w:r>
          </w:p>
        </w:tc>
      </w:tr>
      <w:tr w:rsidR="00715705" w:rsidRPr="00B57B36" w14:paraId="75514FCE" w14:textId="455EBE8B" w:rsidTr="00D22CF2">
        <w:tc>
          <w:tcPr>
            <w:tcW w:w="2313" w:type="dxa"/>
            <w:vAlign w:val="center"/>
          </w:tcPr>
          <w:p w14:paraId="4A55F6BD" w14:textId="16F0A48B" w:rsidR="00715705" w:rsidRPr="00B57B36" w:rsidRDefault="00C0782F" w:rsidP="00D22CF2">
            <w:pPr>
              <w:pStyle w:val="CETBodytext"/>
              <w:ind w:right="-1"/>
              <w:jc w:val="left"/>
              <w:rPr>
                <w:rFonts w:cs="Arial"/>
                <w:szCs w:val="18"/>
                <w:lang w:val="en-GB"/>
              </w:rPr>
            </w:pPr>
            <w:r>
              <w:rPr>
                <w:color w:val="000000"/>
              </w:rPr>
              <w:t>Colour</w:t>
            </w:r>
            <w:r w:rsidR="00715705">
              <w:rPr>
                <w:color w:val="000000"/>
              </w:rPr>
              <w:t>, appearance</w:t>
            </w:r>
          </w:p>
        </w:tc>
        <w:tc>
          <w:tcPr>
            <w:tcW w:w="2302" w:type="dxa"/>
            <w:vAlign w:val="center"/>
          </w:tcPr>
          <w:p w14:paraId="5EE79523" w14:textId="0DC57058" w:rsidR="00715705" w:rsidRPr="00ED001E" w:rsidRDefault="00715705" w:rsidP="00D22CF2">
            <w:pPr>
              <w:pStyle w:val="CETBodytext"/>
              <w:jc w:val="left"/>
              <w:rPr>
                <w:lang w:val="en-GB"/>
              </w:rPr>
            </w:pPr>
            <w:r w:rsidRPr="00ED001E">
              <w:rPr>
                <w:lang w:val="en-GB"/>
              </w:rPr>
              <w:t>yellow</w:t>
            </w:r>
          </w:p>
        </w:tc>
        <w:tc>
          <w:tcPr>
            <w:tcW w:w="2086" w:type="dxa"/>
            <w:vAlign w:val="center"/>
          </w:tcPr>
          <w:p w14:paraId="026DE5D8" w14:textId="6A73AA26" w:rsidR="00715705" w:rsidRPr="00ED001E" w:rsidRDefault="00715705" w:rsidP="00D22CF2">
            <w:pPr>
              <w:pStyle w:val="CETBodytext"/>
              <w:jc w:val="left"/>
              <w:rPr>
                <w:lang w:val="en-GB"/>
              </w:rPr>
            </w:pPr>
            <w:r w:rsidRPr="00ED001E">
              <w:rPr>
                <w:lang w:val="en-GB"/>
              </w:rPr>
              <w:t>light brown, clear</w:t>
            </w:r>
          </w:p>
        </w:tc>
        <w:tc>
          <w:tcPr>
            <w:tcW w:w="2086" w:type="dxa"/>
            <w:vAlign w:val="center"/>
          </w:tcPr>
          <w:p w14:paraId="5EC0C0EC" w14:textId="72535DE7" w:rsidR="00715705" w:rsidRPr="00ED001E" w:rsidRDefault="00715705" w:rsidP="00D22CF2">
            <w:pPr>
              <w:pStyle w:val="CETBodytext"/>
              <w:jc w:val="left"/>
              <w:rPr>
                <w:lang w:val="en-GB"/>
              </w:rPr>
            </w:pPr>
            <w:r w:rsidRPr="00ED001E">
              <w:rPr>
                <w:lang w:val="en-GB"/>
              </w:rPr>
              <w:t>yellow, clear</w:t>
            </w:r>
          </w:p>
        </w:tc>
      </w:tr>
      <w:tr w:rsidR="00715705" w:rsidRPr="00B57B36" w14:paraId="01503778" w14:textId="11CA9359" w:rsidTr="00D22CF2">
        <w:tc>
          <w:tcPr>
            <w:tcW w:w="2313" w:type="dxa"/>
            <w:vAlign w:val="center"/>
          </w:tcPr>
          <w:p w14:paraId="4B6F87D9" w14:textId="0E28D9D3" w:rsidR="00715705" w:rsidRPr="00B57B36" w:rsidRDefault="00715705" w:rsidP="00D22CF2">
            <w:pPr>
              <w:pStyle w:val="CETBodytext"/>
              <w:ind w:right="-1"/>
              <w:jc w:val="left"/>
              <w:rPr>
                <w:rFonts w:cs="Arial"/>
                <w:szCs w:val="18"/>
                <w:lang w:val="en-GB"/>
              </w:rPr>
            </w:pPr>
            <w:r>
              <w:rPr>
                <w:color w:val="000000"/>
              </w:rPr>
              <w:t xml:space="preserve">Density at </w:t>
            </w:r>
            <w:r w:rsidRPr="005449F3">
              <w:rPr>
                <w:color w:val="000000"/>
              </w:rPr>
              <w:t>15°C, kg/m</w:t>
            </w:r>
            <w:r w:rsidRPr="005449F3">
              <w:rPr>
                <w:color w:val="000000"/>
                <w:vertAlign w:val="superscript"/>
              </w:rPr>
              <w:t>3</w:t>
            </w:r>
          </w:p>
        </w:tc>
        <w:tc>
          <w:tcPr>
            <w:tcW w:w="2302" w:type="dxa"/>
            <w:vAlign w:val="center"/>
          </w:tcPr>
          <w:p w14:paraId="10BB6CF9" w14:textId="2F6C748F" w:rsidR="00715705" w:rsidRPr="00ED001E" w:rsidRDefault="006B1EB3" w:rsidP="00D22CF2">
            <w:pPr>
              <w:pStyle w:val="CETBodytext"/>
              <w:jc w:val="left"/>
              <w:rPr>
                <w:lang w:val="en-GB"/>
              </w:rPr>
            </w:pPr>
            <w:r>
              <w:rPr>
                <w:lang w:val="en-GB"/>
              </w:rPr>
              <w:t>2</w:t>
            </w:r>
            <w:r w:rsidR="008633A8">
              <w:rPr>
                <w:lang w:val="en-GB"/>
              </w:rPr>
              <w:t xml:space="preserve"> 080</w:t>
            </w:r>
          </w:p>
        </w:tc>
        <w:tc>
          <w:tcPr>
            <w:tcW w:w="2086" w:type="dxa"/>
            <w:vAlign w:val="center"/>
          </w:tcPr>
          <w:p w14:paraId="447366D3" w14:textId="3A5A16C6" w:rsidR="00715705" w:rsidRPr="00ED001E" w:rsidRDefault="00715705" w:rsidP="00D22CF2">
            <w:pPr>
              <w:pStyle w:val="CETBodytext"/>
              <w:jc w:val="left"/>
              <w:rPr>
                <w:lang w:val="en-GB"/>
              </w:rPr>
            </w:pPr>
            <w:r w:rsidRPr="00ED001E">
              <w:rPr>
                <w:lang w:val="en-GB"/>
              </w:rPr>
              <w:t>860</w:t>
            </w:r>
          </w:p>
        </w:tc>
        <w:tc>
          <w:tcPr>
            <w:tcW w:w="2086" w:type="dxa"/>
            <w:vAlign w:val="center"/>
          </w:tcPr>
          <w:p w14:paraId="238378E7" w14:textId="59B4273B" w:rsidR="00715705" w:rsidRPr="00ED001E" w:rsidRDefault="00715705" w:rsidP="00D22CF2">
            <w:pPr>
              <w:pStyle w:val="CETBodytext"/>
              <w:jc w:val="left"/>
              <w:rPr>
                <w:lang w:val="en-GB"/>
              </w:rPr>
            </w:pPr>
            <w:r w:rsidRPr="00ED001E">
              <w:rPr>
                <w:lang w:val="en-GB"/>
              </w:rPr>
              <w:t>1</w:t>
            </w:r>
            <w:r>
              <w:rPr>
                <w:lang w:val="en-GB"/>
              </w:rPr>
              <w:t xml:space="preserve"> </w:t>
            </w:r>
            <w:r w:rsidRPr="00ED001E">
              <w:rPr>
                <w:lang w:val="en-GB"/>
              </w:rPr>
              <w:t>420</w:t>
            </w:r>
          </w:p>
        </w:tc>
      </w:tr>
      <w:tr w:rsidR="00715705" w:rsidRPr="00B57B36" w14:paraId="7FFED7E4" w14:textId="4AAEFD8B" w:rsidTr="00D22CF2">
        <w:tc>
          <w:tcPr>
            <w:tcW w:w="2313" w:type="dxa"/>
            <w:vAlign w:val="center"/>
          </w:tcPr>
          <w:p w14:paraId="7D6CB41B" w14:textId="0F3D6B03" w:rsidR="00715705" w:rsidRPr="00B57B36" w:rsidRDefault="00715705" w:rsidP="00D22CF2">
            <w:pPr>
              <w:pStyle w:val="CETBodytext"/>
              <w:ind w:right="-1"/>
              <w:jc w:val="left"/>
              <w:rPr>
                <w:rFonts w:cs="Arial"/>
                <w:szCs w:val="18"/>
                <w:lang w:val="en-GB"/>
              </w:rPr>
            </w:pPr>
            <w:r>
              <w:rPr>
                <w:color w:val="000000"/>
              </w:rPr>
              <w:t>Flashpoint, °C</w:t>
            </w:r>
          </w:p>
        </w:tc>
        <w:tc>
          <w:tcPr>
            <w:tcW w:w="2302" w:type="dxa"/>
            <w:vAlign w:val="center"/>
          </w:tcPr>
          <w:p w14:paraId="4E4674E2" w14:textId="06512560" w:rsidR="00715705" w:rsidRPr="00ED001E" w:rsidRDefault="00715705" w:rsidP="00D22CF2">
            <w:pPr>
              <w:pStyle w:val="CETBodytext"/>
              <w:jc w:val="left"/>
              <w:rPr>
                <w:lang w:val="en-GB"/>
              </w:rPr>
            </w:pPr>
            <w:r w:rsidRPr="00ED001E">
              <w:rPr>
                <w:lang w:val="en-GB"/>
              </w:rPr>
              <w:t>over 300</w:t>
            </w:r>
          </w:p>
        </w:tc>
        <w:tc>
          <w:tcPr>
            <w:tcW w:w="2086" w:type="dxa"/>
            <w:vAlign w:val="center"/>
          </w:tcPr>
          <w:p w14:paraId="12E9AE26" w14:textId="721381F4" w:rsidR="00715705" w:rsidRPr="00ED001E" w:rsidRDefault="00715705" w:rsidP="00D22CF2">
            <w:pPr>
              <w:pStyle w:val="CETBodytext"/>
              <w:jc w:val="left"/>
              <w:rPr>
                <w:lang w:val="en-GB"/>
              </w:rPr>
            </w:pPr>
            <w:r w:rsidRPr="00ED001E">
              <w:rPr>
                <w:lang w:val="en-GB"/>
              </w:rPr>
              <w:t>100</w:t>
            </w:r>
          </w:p>
        </w:tc>
        <w:tc>
          <w:tcPr>
            <w:tcW w:w="2086" w:type="dxa"/>
            <w:vAlign w:val="center"/>
          </w:tcPr>
          <w:p w14:paraId="36418C8C" w14:textId="716D62AD" w:rsidR="00715705" w:rsidRPr="00ED001E" w:rsidRDefault="00715705" w:rsidP="00D22CF2">
            <w:pPr>
              <w:pStyle w:val="CETBodytext"/>
              <w:jc w:val="left"/>
              <w:rPr>
                <w:lang w:val="en-GB"/>
              </w:rPr>
            </w:pPr>
            <w:r w:rsidRPr="00ED001E">
              <w:rPr>
                <w:lang w:val="en-GB"/>
              </w:rPr>
              <w:t>~250</w:t>
            </w:r>
          </w:p>
        </w:tc>
      </w:tr>
    </w:tbl>
    <w:p w14:paraId="2C0BB186" w14:textId="5F31C338" w:rsidR="00CC1E7B" w:rsidRDefault="00FD2EF1" w:rsidP="00A36F82">
      <w:pPr>
        <w:pStyle w:val="CETBodytext"/>
        <w:spacing w:before="120"/>
      </w:pPr>
      <w:r w:rsidRPr="00FD2EF1">
        <w:t>Based on the area of application and purity, the examined raw materials were found to be suitable for further investigations.</w:t>
      </w:r>
    </w:p>
    <w:bookmarkEnd w:id="0"/>
    <w:p w14:paraId="1C944E07" w14:textId="11542801" w:rsidR="00CC1E7B" w:rsidRDefault="0004337A" w:rsidP="0004337A">
      <w:pPr>
        <w:pStyle w:val="CETHeading1"/>
        <w:tabs>
          <w:tab w:val="num" w:pos="360"/>
        </w:tabs>
      </w:pPr>
      <w:r w:rsidRPr="0004337A">
        <w:t>Properties of EP additives</w:t>
      </w:r>
    </w:p>
    <w:p w14:paraId="1E001C89" w14:textId="05A515C8" w:rsidR="00CC1E7B" w:rsidRDefault="00D2429A" w:rsidP="00A36F82">
      <w:pPr>
        <w:pStyle w:val="CETBodytext"/>
        <w:spacing w:after="60"/>
      </w:pPr>
      <w:r w:rsidRPr="00D2429A">
        <w:t>Detailed physical and physical-chemical investigation of the examined raw materials was used the following methods:</w:t>
      </w:r>
    </w:p>
    <w:p w14:paraId="159B9453" w14:textId="77777777" w:rsidR="008657A1" w:rsidRPr="008657A1" w:rsidRDefault="008657A1" w:rsidP="008657A1">
      <w:pPr>
        <w:pStyle w:val="CETListbullets"/>
        <w:numPr>
          <w:ilvl w:val="0"/>
          <w:numId w:val="13"/>
        </w:numPr>
      </w:pPr>
      <w:r w:rsidRPr="008657A1">
        <w:t>Appearance [Visual]</w:t>
      </w:r>
    </w:p>
    <w:p w14:paraId="0C95F771" w14:textId="77777777" w:rsidR="008657A1" w:rsidRPr="00192B49" w:rsidRDefault="008657A1" w:rsidP="008657A1">
      <w:pPr>
        <w:pStyle w:val="CETListbullets"/>
        <w:numPr>
          <w:ilvl w:val="0"/>
          <w:numId w:val="13"/>
        </w:numPr>
        <w:rPr>
          <w:lang w:val="de-DE"/>
        </w:rPr>
      </w:pPr>
      <w:r w:rsidRPr="00192B49">
        <w:rPr>
          <w:lang w:val="de-DE"/>
        </w:rPr>
        <w:t>Density 20°C, [MSZ EN ISO 12185:1998], g/cm</w:t>
      </w:r>
      <w:r w:rsidRPr="00192B49">
        <w:rPr>
          <w:vertAlign w:val="superscript"/>
          <w:lang w:val="de-DE"/>
        </w:rPr>
        <w:t>3</w:t>
      </w:r>
    </w:p>
    <w:p w14:paraId="704261DF" w14:textId="1B050C08" w:rsidR="008657A1" w:rsidRPr="008657A1" w:rsidRDefault="008657A1" w:rsidP="008657A1">
      <w:pPr>
        <w:pStyle w:val="CETListbullets"/>
        <w:numPr>
          <w:ilvl w:val="0"/>
          <w:numId w:val="13"/>
        </w:numPr>
      </w:pPr>
      <w:r w:rsidRPr="008657A1">
        <w:t xml:space="preserve">Kinematic viscosity </w:t>
      </w:r>
      <w:r w:rsidR="008045E0">
        <w:t xml:space="preserve">at </w:t>
      </w:r>
      <w:r w:rsidRPr="008657A1">
        <w:t>40°C [MSZ EN ISO 3104:1996]</w:t>
      </w:r>
      <w:r>
        <w:t xml:space="preserve">, </w:t>
      </w:r>
      <w:r w:rsidRPr="008657A1">
        <w:t>mm</w:t>
      </w:r>
      <w:r w:rsidRPr="008657A1">
        <w:rPr>
          <w:vertAlign w:val="superscript"/>
        </w:rPr>
        <w:t>2</w:t>
      </w:r>
      <w:r w:rsidRPr="008657A1">
        <w:t>/s</w:t>
      </w:r>
    </w:p>
    <w:p w14:paraId="3DB18E37" w14:textId="45B79935" w:rsidR="008657A1" w:rsidRPr="008657A1" w:rsidRDefault="008657A1" w:rsidP="008657A1">
      <w:pPr>
        <w:pStyle w:val="CETListbullets"/>
        <w:numPr>
          <w:ilvl w:val="0"/>
          <w:numId w:val="13"/>
        </w:numPr>
      </w:pPr>
      <w:r w:rsidRPr="008657A1">
        <w:t xml:space="preserve">Kinematic viscosity </w:t>
      </w:r>
      <w:r w:rsidR="008045E0">
        <w:t xml:space="preserve">at </w:t>
      </w:r>
      <w:r w:rsidRPr="008657A1">
        <w:t>100°C-on [MSZ EN ISO 3104:1996], mm</w:t>
      </w:r>
      <w:r w:rsidRPr="008657A1">
        <w:rPr>
          <w:vertAlign w:val="superscript"/>
        </w:rPr>
        <w:t>2</w:t>
      </w:r>
      <w:r w:rsidRPr="008657A1">
        <w:t>/s</w:t>
      </w:r>
    </w:p>
    <w:p w14:paraId="5FA9A487" w14:textId="2B88C9C6" w:rsidR="008657A1" w:rsidRPr="008657A1" w:rsidRDefault="008657A1" w:rsidP="008657A1">
      <w:pPr>
        <w:pStyle w:val="CETListbullets"/>
        <w:numPr>
          <w:ilvl w:val="0"/>
          <w:numId w:val="13"/>
        </w:numPr>
      </w:pPr>
      <w:r w:rsidRPr="008657A1">
        <w:t xml:space="preserve">Dynamic viscosity </w:t>
      </w:r>
      <w:r w:rsidR="008045E0">
        <w:t xml:space="preserve">at </w:t>
      </w:r>
      <w:r w:rsidRPr="008657A1">
        <w:t xml:space="preserve">40°C </w:t>
      </w:r>
      <w:r w:rsidR="008045E0">
        <w:t>(</w:t>
      </w:r>
      <w:r w:rsidRPr="008657A1">
        <w:t>calculated</w:t>
      </w:r>
      <w:r w:rsidR="008045E0">
        <w:t>)</w:t>
      </w:r>
      <w:r w:rsidRPr="008657A1">
        <w:t xml:space="preserve"> [MSZ EN ISO 3104:1996], mPa·s</w:t>
      </w:r>
    </w:p>
    <w:p w14:paraId="0A19B300" w14:textId="77777777" w:rsidR="008657A1" w:rsidRPr="00192B49" w:rsidRDefault="008657A1" w:rsidP="008657A1">
      <w:pPr>
        <w:pStyle w:val="CETListbullets"/>
        <w:numPr>
          <w:ilvl w:val="0"/>
          <w:numId w:val="13"/>
        </w:numPr>
        <w:rPr>
          <w:lang w:val="nb-NO"/>
        </w:rPr>
      </w:pPr>
      <w:r w:rsidRPr="00192B49">
        <w:rPr>
          <w:lang w:val="nb-NO"/>
        </w:rPr>
        <w:t>Acid value [MSZ EN ISO 660:2000], mg KOH/g</w:t>
      </w:r>
    </w:p>
    <w:p w14:paraId="16F4C651" w14:textId="77777777" w:rsidR="008657A1" w:rsidRPr="008657A1" w:rsidRDefault="008657A1" w:rsidP="008657A1">
      <w:pPr>
        <w:pStyle w:val="CETListbullets"/>
        <w:numPr>
          <w:ilvl w:val="0"/>
          <w:numId w:val="13"/>
        </w:numPr>
      </w:pPr>
      <w:r w:rsidRPr="008657A1">
        <w:t>Saponification number [MSZ ISO 6293:1994], mg KOH/g</w:t>
      </w:r>
    </w:p>
    <w:p w14:paraId="4768D78F" w14:textId="39B17664" w:rsidR="008657A1" w:rsidRPr="008657A1" w:rsidRDefault="008657A1" w:rsidP="008657A1">
      <w:pPr>
        <w:pStyle w:val="CETListbullets"/>
        <w:numPr>
          <w:ilvl w:val="0"/>
          <w:numId w:val="13"/>
        </w:numPr>
        <w:rPr>
          <w:lang w:val="nb-NO"/>
        </w:rPr>
      </w:pPr>
      <w:r w:rsidRPr="008657A1">
        <w:rPr>
          <w:lang w:val="nb-NO"/>
        </w:rPr>
        <w:t>Iodine value [MSZ EN ISO 3961:2000], g</w:t>
      </w:r>
      <w:r w:rsidR="008045E0">
        <w:rPr>
          <w:lang w:val="nb-NO"/>
        </w:rPr>
        <w:t xml:space="preserve"> </w:t>
      </w:r>
      <w:r w:rsidRPr="008657A1">
        <w:rPr>
          <w:lang w:val="nb-NO"/>
        </w:rPr>
        <w:t>I</w:t>
      </w:r>
      <w:r w:rsidRPr="008657A1">
        <w:rPr>
          <w:vertAlign w:val="subscript"/>
          <w:lang w:val="nb-NO"/>
        </w:rPr>
        <w:t>2</w:t>
      </w:r>
      <w:r w:rsidRPr="008657A1">
        <w:rPr>
          <w:lang w:val="nb-NO"/>
        </w:rPr>
        <w:t>/100g</w:t>
      </w:r>
    </w:p>
    <w:p w14:paraId="1C226364" w14:textId="29F2E9B4" w:rsidR="008657A1" w:rsidRPr="008657A1" w:rsidRDefault="008657A1" w:rsidP="008657A1">
      <w:pPr>
        <w:pStyle w:val="CETListbullets"/>
        <w:numPr>
          <w:ilvl w:val="0"/>
          <w:numId w:val="13"/>
        </w:numPr>
      </w:pPr>
      <w:r w:rsidRPr="008657A1">
        <w:t xml:space="preserve">Water content </w:t>
      </w:r>
      <w:r>
        <w:t>(</w:t>
      </w:r>
      <w:r w:rsidRPr="008657A1">
        <w:t xml:space="preserve">KF </w:t>
      </w:r>
      <w:r>
        <w:t>–</w:t>
      </w:r>
      <w:r w:rsidRPr="008657A1">
        <w:t xml:space="preserve"> Coulometry</w:t>
      </w:r>
      <w:r>
        <w:t>)</w:t>
      </w:r>
      <w:r w:rsidRPr="008657A1">
        <w:t xml:space="preserve"> [MSZ EN ISO 12937:2001], wt%</w:t>
      </w:r>
    </w:p>
    <w:p w14:paraId="6E4BB004" w14:textId="77777777" w:rsidR="008657A1" w:rsidRPr="008657A1" w:rsidRDefault="008657A1" w:rsidP="008657A1">
      <w:pPr>
        <w:pStyle w:val="CETListbullets"/>
        <w:numPr>
          <w:ilvl w:val="0"/>
          <w:numId w:val="13"/>
        </w:numPr>
      </w:pPr>
      <w:r w:rsidRPr="008657A1">
        <w:t>Sediment content [IEC 60422], wt%</w:t>
      </w:r>
    </w:p>
    <w:p w14:paraId="668FBCF8" w14:textId="1E9128CE" w:rsidR="0004337A" w:rsidRDefault="00A36F82" w:rsidP="00A36F82">
      <w:pPr>
        <w:pStyle w:val="CETBodytext"/>
        <w:spacing w:before="120" w:after="60"/>
      </w:pPr>
      <w:r w:rsidRPr="00A36F82">
        <w:t xml:space="preserve">For the </w:t>
      </w:r>
      <w:r w:rsidR="004742EC">
        <w:t>evaluation</w:t>
      </w:r>
      <w:r w:rsidRPr="00A36F82">
        <w:t xml:space="preserve"> of the functional effect of synthesized additives, the so-called four-ball method was applied, which is widely </w:t>
      </w:r>
      <w:r w:rsidR="00560F14">
        <w:t>applied</w:t>
      </w:r>
      <w:r w:rsidRPr="00A36F82">
        <w:t xml:space="preserve"> in the lubricant industry. </w:t>
      </w:r>
      <w:r w:rsidR="00932008">
        <w:t>These testing procedures</w:t>
      </w:r>
      <w:r w:rsidR="00560F14" w:rsidRPr="00560F14">
        <w:t xml:space="preserve"> </w:t>
      </w:r>
      <w:r w:rsidR="002B598C">
        <w:t>w</w:t>
      </w:r>
      <w:r w:rsidR="00932008">
        <w:t>ere</w:t>
      </w:r>
      <w:r w:rsidRPr="00A36F82">
        <w:t xml:space="preserve"> used to evaluate the extreme-pressure and anti-wear properties of all types of lubricants (oils and greases), with the four-ball machine </w:t>
      </w:r>
      <w:r w:rsidR="008C3DD8">
        <w:rPr>
          <w:lang w:val="en-GB"/>
        </w:rPr>
        <w:t>(</w:t>
      </w:r>
      <w:r w:rsidR="00492A3C">
        <w:rPr>
          <w:lang w:val="en-GB"/>
        </w:rPr>
        <w:t>Shu</w:t>
      </w:r>
      <w:r w:rsidR="00032C82">
        <w:rPr>
          <w:lang w:val="en-GB"/>
        </w:rPr>
        <w:t>bhamita</w:t>
      </w:r>
      <w:r w:rsidR="008C3DD8" w:rsidRPr="00BE637E">
        <w:rPr>
          <w:lang w:val="en-GB"/>
        </w:rPr>
        <w:t xml:space="preserve"> et al., 20</w:t>
      </w:r>
      <w:r w:rsidR="00032C82">
        <w:rPr>
          <w:lang w:val="en-GB"/>
        </w:rPr>
        <w:t>19</w:t>
      </w:r>
      <w:r w:rsidR="008C3DD8">
        <w:rPr>
          <w:lang w:val="en-GB"/>
        </w:rPr>
        <w:t>)</w:t>
      </w:r>
      <w:r w:rsidRPr="00A36F82">
        <w:t>:</w:t>
      </w:r>
    </w:p>
    <w:p w14:paraId="331EDF7F" w14:textId="77777777" w:rsidR="00475959" w:rsidRDefault="00475959" w:rsidP="003968D3">
      <w:pPr>
        <w:pStyle w:val="CETListbullets"/>
        <w:numPr>
          <w:ilvl w:val="0"/>
          <w:numId w:val="13"/>
        </w:numPr>
        <w:spacing w:before="120" w:after="60"/>
      </w:pPr>
      <w:r w:rsidRPr="00475959">
        <w:t>Four-ball test – weld load [DIN 51350-4:2015], N</w:t>
      </w:r>
    </w:p>
    <w:p w14:paraId="4CA9CD70" w14:textId="6D60ACE6" w:rsidR="007468AA" w:rsidRDefault="00F270F9" w:rsidP="007468AA">
      <w:pPr>
        <w:pStyle w:val="CETListbullets"/>
        <w:ind w:firstLine="0"/>
      </w:pPr>
      <w:r w:rsidRPr="00F270F9">
        <w:t xml:space="preserve">The operational principle of the Four-ball test machine revolves around the utilization of a rolling motion. It entails the rotation of a </w:t>
      </w:r>
      <w:r w:rsidR="001348A5">
        <w:t>single</w:t>
      </w:r>
      <w:r w:rsidRPr="00F270F9">
        <w:t xml:space="preserve"> </w:t>
      </w:r>
      <w:proofErr w:type="gramStart"/>
      <w:r w:rsidRPr="00F270F9">
        <w:t>stainless steel</w:t>
      </w:r>
      <w:proofErr w:type="gramEnd"/>
      <w:r w:rsidRPr="00F270F9">
        <w:t xml:space="preserve"> ball against three additional stainless steel balls, all coated with lubricant</w:t>
      </w:r>
      <w:r w:rsidR="005E7348">
        <w:t xml:space="preserve"> film</w:t>
      </w:r>
      <w:r w:rsidRPr="00F270F9">
        <w:t xml:space="preserve">. The three stationary balls are securely held in position via a cradle. Incremental </w:t>
      </w:r>
      <w:r w:rsidR="007A0CD9">
        <w:t>increases</w:t>
      </w:r>
      <w:r w:rsidRPr="00F270F9">
        <w:t xml:space="preserve"> in load are applied until the lubricant film is </w:t>
      </w:r>
      <w:r w:rsidR="00F11521">
        <w:t>depleted</w:t>
      </w:r>
      <w:r w:rsidRPr="00F270F9">
        <w:t xml:space="preserve">, leading to direct metal-to-metal contact. Subsequently, the load is further </w:t>
      </w:r>
      <w:r w:rsidR="00DA417D">
        <w:t>increased</w:t>
      </w:r>
      <w:r w:rsidRPr="00F270F9">
        <w:t xml:space="preserve"> until welding occurs. The determination of the measured weld load serves as a basis for formulating lubricants with varying degrees of extreme pressure properties.</w:t>
      </w:r>
    </w:p>
    <w:p w14:paraId="4270D47E" w14:textId="77777777" w:rsidR="00475959" w:rsidRDefault="00475959" w:rsidP="003968D3">
      <w:pPr>
        <w:pStyle w:val="CETListbullets"/>
        <w:numPr>
          <w:ilvl w:val="0"/>
          <w:numId w:val="13"/>
        </w:numPr>
        <w:spacing w:before="120" w:after="60"/>
      </w:pPr>
      <w:r w:rsidRPr="00475959">
        <w:t>Four-ball test – scar diameter [DIN 51350-5:2015], mm</w:t>
      </w:r>
    </w:p>
    <w:p w14:paraId="03FB2AE6" w14:textId="0E878285" w:rsidR="00EF722C" w:rsidRDefault="00C65C41" w:rsidP="00EF722C">
      <w:pPr>
        <w:pStyle w:val="CETListbullets"/>
        <w:ind w:firstLine="0"/>
      </w:pPr>
      <w:r w:rsidRPr="00C65C41">
        <w:t xml:space="preserve">Furthermore, the Four-ball test machine is employed to assess the wear scar characteristics and coefficient of friction exhibited by a lubricant. </w:t>
      </w:r>
      <w:r w:rsidR="00166F76">
        <w:t xml:space="preserve">The </w:t>
      </w:r>
      <w:r w:rsidR="008F16C4">
        <w:t xml:space="preserve">purpose of the test is to evaluate </w:t>
      </w:r>
      <w:r w:rsidRPr="00C65C41">
        <w:t>the effic</w:t>
      </w:r>
      <w:r w:rsidR="001A4E1B">
        <w:t>iency</w:t>
      </w:r>
      <w:r w:rsidRPr="00C65C41">
        <w:t xml:space="preserve"> </w:t>
      </w:r>
      <w:r w:rsidR="001A4E1B">
        <w:t xml:space="preserve">of lubricants </w:t>
      </w:r>
      <w:r w:rsidRPr="00C65C41">
        <w:t xml:space="preserve">in preventing wear. During the test, a steel ball </w:t>
      </w:r>
      <w:r w:rsidR="00005C0A">
        <w:t>perform</w:t>
      </w:r>
      <w:r w:rsidR="00B01C05">
        <w:t>s</w:t>
      </w:r>
      <w:r w:rsidRPr="00C65C41">
        <w:t xml:space="preserve"> </w:t>
      </w:r>
      <w:r w:rsidR="00B01C05">
        <w:t>a</w:t>
      </w:r>
      <w:r w:rsidRPr="00C65C41">
        <w:t xml:space="preserve"> rotati</w:t>
      </w:r>
      <w:r w:rsidR="00074B4B">
        <w:t>on</w:t>
      </w:r>
      <w:r w:rsidRPr="00C65C41">
        <w:t xml:space="preserve"> motion against three fixed steel balls that have been lubricated, all under predefined conditions encompassing load, speed, temperature, and duration. The effectiveness of the lubricant in </w:t>
      </w:r>
      <w:r w:rsidR="00A7118A">
        <w:t>hindering</w:t>
      </w:r>
      <w:r w:rsidRPr="00C65C41">
        <w:t xml:space="preserve"> wear is indicated by the size of the wear scar present on the three stationary balls. </w:t>
      </w:r>
      <w:r w:rsidR="000C1C74">
        <w:t>A</w:t>
      </w:r>
      <w:r w:rsidR="000C1C74" w:rsidRPr="000C1C74">
        <w:t xml:space="preserve">fter the </w:t>
      </w:r>
      <w:r w:rsidR="00170C77">
        <w:t>test run</w:t>
      </w:r>
      <w:r w:rsidR="000C1C74" w:rsidRPr="000C1C74">
        <w:t xml:space="preserve"> has been completed</w:t>
      </w:r>
      <w:r w:rsidRPr="00C65C41">
        <w:t>, the three wear scars are measured, and the resulting average value is reported.</w:t>
      </w:r>
    </w:p>
    <w:p w14:paraId="677EBFF0" w14:textId="27EA2B6B" w:rsidR="00600535" w:rsidRDefault="004A1F55" w:rsidP="00600535">
      <w:pPr>
        <w:pStyle w:val="CETHeading1"/>
        <w:tabs>
          <w:tab w:val="right" w:pos="7100"/>
        </w:tabs>
        <w:jc w:val="both"/>
        <w:rPr>
          <w:lang w:val="en-GB"/>
        </w:rPr>
      </w:pPr>
      <w:r>
        <w:rPr>
          <w:lang w:val="en-GB"/>
        </w:rPr>
        <w:lastRenderedPageBreak/>
        <w:t>Results</w:t>
      </w:r>
    </w:p>
    <w:p w14:paraId="7DF18604" w14:textId="4E6C1EA4" w:rsidR="00FC04B4" w:rsidRDefault="00D23222" w:rsidP="00FC04B4">
      <w:pPr>
        <w:pStyle w:val="CETBodytext"/>
        <w:spacing w:after="60"/>
      </w:pPr>
      <w:r>
        <w:t>The described</w:t>
      </w:r>
      <w:r w:rsidR="00FC04B4">
        <w:t xml:space="preserve"> investigations were started by determining the physical and chemical properties of raw materials. After that, lubrication technical properties were determined. </w:t>
      </w:r>
    </w:p>
    <w:p w14:paraId="35AF3BAB" w14:textId="2C8D7C75" w:rsidR="00FC04B4" w:rsidRDefault="00FC04B4" w:rsidP="00FC04B4">
      <w:pPr>
        <w:pStyle w:val="CETBodytext"/>
        <w:spacing w:after="60"/>
      </w:pPr>
      <w:r>
        <w:t>The additive samples were made with the reaction of the raw materials characterized above, and elemental sulphur</w:t>
      </w:r>
      <w:r w:rsidR="009C3353">
        <w:t xml:space="preserve"> </w:t>
      </w:r>
      <w:r w:rsidR="009C3353">
        <w:rPr>
          <w:lang w:val="en-GB"/>
        </w:rPr>
        <w:t>(</w:t>
      </w:r>
      <w:r w:rsidR="0040644B">
        <w:rPr>
          <w:lang w:val="en-GB"/>
        </w:rPr>
        <w:t>Frank</w:t>
      </w:r>
      <w:r w:rsidR="009C3353" w:rsidRPr="00BE637E">
        <w:rPr>
          <w:lang w:val="en-GB"/>
        </w:rPr>
        <w:t xml:space="preserve"> et al., </w:t>
      </w:r>
      <w:r w:rsidR="0040644B">
        <w:rPr>
          <w:lang w:val="en-GB"/>
        </w:rPr>
        <w:t>1979</w:t>
      </w:r>
      <w:r w:rsidR="009C3353">
        <w:rPr>
          <w:lang w:val="en-GB"/>
        </w:rPr>
        <w:t>)</w:t>
      </w:r>
      <w:r w:rsidR="00EC5F0F">
        <w:rPr>
          <w:lang w:val="en-GB"/>
        </w:rPr>
        <w:t xml:space="preserve"> </w:t>
      </w:r>
      <w:r w:rsidR="00EC5F0F">
        <w:rPr>
          <w:lang w:val="en-GB"/>
        </w:rPr>
        <w:t>(Nidia et al., 2012)</w:t>
      </w:r>
      <w:bookmarkStart w:id="1" w:name="_GoBack"/>
      <w:bookmarkEnd w:id="1"/>
      <w:r>
        <w:t>. The sulfurization reaction took place in the liquid phase at about 140-170°C and about 1-2 bar</w:t>
      </w:r>
      <w:r w:rsidR="0040644B">
        <w:t xml:space="preserve"> </w:t>
      </w:r>
      <w:r w:rsidR="0040644B">
        <w:rPr>
          <w:lang w:val="en-GB"/>
        </w:rPr>
        <w:t>(</w:t>
      </w:r>
      <w:r w:rsidR="004F189F">
        <w:rPr>
          <w:lang w:val="en-GB"/>
        </w:rPr>
        <w:t>Emile</w:t>
      </w:r>
      <w:r w:rsidR="0040644B" w:rsidRPr="00BE637E">
        <w:rPr>
          <w:lang w:val="en-GB"/>
        </w:rPr>
        <w:t xml:space="preserve"> et al., </w:t>
      </w:r>
      <w:r w:rsidR="0056757F">
        <w:rPr>
          <w:lang w:val="en-GB"/>
        </w:rPr>
        <w:t>197</w:t>
      </w:r>
      <w:r w:rsidR="004F189F">
        <w:rPr>
          <w:lang w:val="en-GB"/>
        </w:rPr>
        <w:t>4</w:t>
      </w:r>
      <w:r w:rsidR="0040644B">
        <w:rPr>
          <w:lang w:val="en-GB"/>
        </w:rPr>
        <w:t>)</w:t>
      </w:r>
      <w:r>
        <w:t xml:space="preserve">. To increase the reaction yield, mixing for 2-6 hours is necessary at the reaction temperature </w:t>
      </w:r>
      <w:r w:rsidR="0040644B">
        <w:rPr>
          <w:lang w:val="en-GB"/>
        </w:rPr>
        <w:t>(</w:t>
      </w:r>
      <w:r w:rsidR="000053DD">
        <w:rPr>
          <w:lang w:val="en-GB"/>
        </w:rPr>
        <w:t>Donald</w:t>
      </w:r>
      <w:r w:rsidR="0040644B" w:rsidRPr="00BE637E">
        <w:rPr>
          <w:lang w:val="en-GB"/>
        </w:rPr>
        <w:t xml:space="preserve"> et al., </w:t>
      </w:r>
      <w:r w:rsidR="0056757F">
        <w:rPr>
          <w:lang w:val="en-GB"/>
        </w:rPr>
        <w:t>1979</w:t>
      </w:r>
      <w:r w:rsidR="0040644B">
        <w:rPr>
          <w:lang w:val="en-GB"/>
        </w:rPr>
        <w:t>)</w:t>
      </w:r>
      <w:r>
        <w:t>.</w:t>
      </w:r>
    </w:p>
    <w:p w14:paraId="0B937761" w14:textId="0741DD5E" w:rsidR="00124D0E" w:rsidRDefault="00FC04B4" w:rsidP="00FC04B4">
      <w:pPr>
        <w:pStyle w:val="CETBodytext"/>
        <w:spacing w:after="60"/>
      </w:pPr>
      <w:r>
        <w:t xml:space="preserve">Table 3 contains the </w:t>
      </w:r>
      <w:r w:rsidR="00435A05">
        <w:t xml:space="preserve">results of the </w:t>
      </w:r>
      <w:r w:rsidR="002F4332">
        <w:t>measure</w:t>
      </w:r>
      <w:r w:rsidR="00435A05">
        <w:t>ment</w:t>
      </w:r>
      <w:r w:rsidR="002F4332">
        <w:t xml:space="preserve"> of synthesized</w:t>
      </w:r>
      <w:r>
        <w:t xml:space="preserve"> EP additives.</w:t>
      </w:r>
    </w:p>
    <w:p w14:paraId="3D1ACA67" w14:textId="4529A6E6" w:rsidR="00435A05" w:rsidRPr="00B57B36" w:rsidRDefault="00435A05" w:rsidP="00A62C20">
      <w:pPr>
        <w:pStyle w:val="CETTabletitle"/>
        <w:spacing w:before="120"/>
      </w:pPr>
      <w:r w:rsidRPr="00B57B36">
        <w:t xml:space="preserve">Table </w:t>
      </w:r>
      <w:r w:rsidR="00F23887">
        <w:t>3</w:t>
      </w:r>
      <w:r w:rsidRPr="00B57B36">
        <w:t xml:space="preserve">: </w:t>
      </w:r>
      <w:r w:rsidRPr="009B0694">
        <w:t>Characteristics of the synthesi</w:t>
      </w:r>
      <w:r w:rsidR="00CC3104">
        <w:t>zed additives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303"/>
        <w:gridCol w:w="1304"/>
        <w:gridCol w:w="1304"/>
        <w:gridCol w:w="1304"/>
        <w:gridCol w:w="1304"/>
      </w:tblGrid>
      <w:tr w:rsidR="004C2F28" w:rsidRPr="00B57B36" w14:paraId="34FD27B9" w14:textId="3F55699A" w:rsidTr="00BB4AEE">
        <w:tc>
          <w:tcPr>
            <w:tcW w:w="2268" w:type="dxa"/>
            <w:tcBorders>
              <w:top w:val="single" w:sz="12" w:space="0" w:color="008000"/>
              <w:bottom w:val="single" w:sz="6" w:space="0" w:color="008000"/>
            </w:tcBorders>
            <w:shd w:val="clear" w:color="auto" w:fill="FFFFFF"/>
          </w:tcPr>
          <w:p w14:paraId="47D3AFC1" w14:textId="03F35158" w:rsidR="004C2F28" w:rsidRPr="00B57B36" w:rsidRDefault="002B10CE" w:rsidP="00863DFC">
            <w:pPr>
              <w:pStyle w:val="CETBodytext"/>
              <w:rPr>
                <w:lang w:val="en-GB"/>
              </w:rPr>
            </w:pPr>
            <w:r>
              <w:rPr>
                <w:lang w:val="en-GB"/>
              </w:rPr>
              <w:t>Method</w:t>
            </w:r>
          </w:p>
        </w:tc>
        <w:tc>
          <w:tcPr>
            <w:tcW w:w="1303" w:type="dxa"/>
            <w:tcBorders>
              <w:top w:val="single" w:sz="12" w:space="0" w:color="008000"/>
              <w:bottom w:val="single" w:sz="6" w:space="0" w:color="008000"/>
            </w:tcBorders>
            <w:shd w:val="clear" w:color="auto" w:fill="FFFFFF"/>
          </w:tcPr>
          <w:p w14:paraId="1F0A4CE4" w14:textId="606CFA79" w:rsidR="004C2F28" w:rsidRPr="00B57B36" w:rsidRDefault="004C2F28" w:rsidP="00863DFC">
            <w:pPr>
              <w:pStyle w:val="CETBodytext"/>
              <w:rPr>
                <w:lang w:val="en-GB"/>
              </w:rPr>
            </w:pPr>
            <w:r>
              <w:rPr>
                <w:lang w:val="en-GB"/>
              </w:rPr>
              <w:t>Additive-1</w:t>
            </w:r>
          </w:p>
        </w:tc>
        <w:tc>
          <w:tcPr>
            <w:tcW w:w="1304" w:type="dxa"/>
            <w:tcBorders>
              <w:top w:val="single" w:sz="12" w:space="0" w:color="008000"/>
              <w:bottom w:val="single" w:sz="6" w:space="0" w:color="008000"/>
            </w:tcBorders>
            <w:shd w:val="clear" w:color="auto" w:fill="FFFFFF"/>
          </w:tcPr>
          <w:p w14:paraId="69348F22" w14:textId="2961EC9A" w:rsidR="004C2F28" w:rsidRDefault="004C2F28" w:rsidP="00863DFC">
            <w:pPr>
              <w:pStyle w:val="CETBodytext"/>
              <w:rPr>
                <w:lang w:val="en-GB"/>
              </w:rPr>
            </w:pPr>
            <w:r>
              <w:rPr>
                <w:lang w:val="en-GB"/>
              </w:rPr>
              <w:t>Additive-2</w:t>
            </w:r>
          </w:p>
        </w:tc>
        <w:tc>
          <w:tcPr>
            <w:tcW w:w="1304" w:type="dxa"/>
            <w:tcBorders>
              <w:top w:val="single" w:sz="12" w:space="0" w:color="008000"/>
              <w:bottom w:val="single" w:sz="6" w:space="0" w:color="008000"/>
            </w:tcBorders>
            <w:shd w:val="clear" w:color="auto" w:fill="FFFFFF"/>
          </w:tcPr>
          <w:p w14:paraId="2063F00F" w14:textId="20E2B6D6" w:rsidR="004C2F28" w:rsidRDefault="004C2F28" w:rsidP="00863DFC">
            <w:pPr>
              <w:pStyle w:val="CETBodytext"/>
              <w:rPr>
                <w:lang w:val="en-GB"/>
              </w:rPr>
            </w:pPr>
            <w:r>
              <w:rPr>
                <w:lang w:val="en-GB"/>
              </w:rPr>
              <w:t>Additive-</w:t>
            </w:r>
            <w:r w:rsidR="002B10CE">
              <w:rPr>
                <w:lang w:val="en-GB"/>
              </w:rPr>
              <w:t>3</w:t>
            </w:r>
          </w:p>
        </w:tc>
        <w:tc>
          <w:tcPr>
            <w:tcW w:w="1304" w:type="dxa"/>
            <w:tcBorders>
              <w:top w:val="single" w:sz="12" w:space="0" w:color="008000"/>
              <w:bottom w:val="single" w:sz="6" w:space="0" w:color="008000"/>
            </w:tcBorders>
            <w:shd w:val="clear" w:color="auto" w:fill="FFFFFF"/>
          </w:tcPr>
          <w:p w14:paraId="59FE7807" w14:textId="05521517" w:rsidR="004C2F28" w:rsidRDefault="002B10CE" w:rsidP="00863DFC">
            <w:pPr>
              <w:pStyle w:val="CETBodytext"/>
              <w:rPr>
                <w:lang w:val="en-GB"/>
              </w:rPr>
            </w:pPr>
            <w:r>
              <w:rPr>
                <w:lang w:val="en-GB"/>
              </w:rPr>
              <w:t>Additive-4</w:t>
            </w:r>
          </w:p>
        </w:tc>
        <w:tc>
          <w:tcPr>
            <w:tcW w:w="1304" w:type="dxa"/>
            <w:tcBorders>
              <w:top w:val="single" w:sz="12" w:space="0" w:color="008000"/>
              <w:bottom w:val="single" w:sz="6" w:space="0" w:color="008000"/>
            </w:tcBorders>
            <w:shd w:val="clear" w:color="auto" w:fill="FFFFFF"/>
          </w:tcPr>
          <w:p w14:paraId="4AC11EB3" w14:textId="03C62C3F" w:rsidR="004C2F28" w:rsidRDefault="002B10CE" w:rsidP="00863DFC">
            <w:pPr>
              <w:pStyle w:val="CETBodytext"/>
              <w:rPr>
                <w:lang w:val="en-GB"/>
              </w:rPr>
            </w:pPr>
            <w:r>
              <w:rPr>
                <w:lang w:val="en-GB"/>
              </w:rPr>
              <w:t>Additive-5</w:t>
            </w:r>
          </w:p>
        </w:tc>
      </w:tr>
      <w:tr w:rsidR="004C2F28" w:rsidRPr="00B57B36" w14:paraId="43487A51" w14:textId="16B071C5" w:rsidTr="0008244F">
        <w:tc>
          <w:tcPr>
            <w:tcW w:w="2268" w:type="dxa"/>
          </w:tcPr>
          <w:p w14:paraId="6EE9A77D" w14:textId="1A183707" w:rsidR="004C2F28" w:rsidRPr="00B57B36" w:rsidRDefault="00465E73" w:rsidP="0008244F">
            <w:pPr>
              <w:pStyle w:val="CETBodytext"/>
              <w:jc w:val="left"/>
              <w:rPr>
                <w:lang w:val="en-GB"/>
              </w:rPr>
            </w:pPr>
            <w:r w:rsidRPr="00465E73">
              <w:rPr>
                <w:lang w:val="en-GB"/>
              </w:rPr>
              <w:t>Appearance [Visual]</w:t>
            </w:r>
          </w:p>
        </w:tc>
        <w:tc>
          <w:tcPr>
            <w:tcW w:w="1303" w:type="dxa"/>
          </w:tcPr>
          <w:p w14:paraId="225EDC68" w14:textId="77777777" w:rsidR="00A078EF" w:rsidRDefault="00A078EF" w:rsidP="0008244F">
            <w:pPr>
              <w:pStyle w:val="CETBodytext"/>
              <w:jc w:val="left"/>
              <w:rPr>
                <w:lang w:val="en-GB"/>
              </w:rPr>
            </w:pPr>
            <w:r>
              <w:rPr>
                <w:lang w:val="en-GB"/>
              </w:rPr>
              <w:t>brown,</w:t>
            </w:r>
          </w:p>
          <w:p w14:paraId="14CB6AF6" w14:textId="709BC198" w:rsidR="004C2F28" w:rsidRPr="00B57B36" w:rsidRDefault="00A078EF" w:rsidP="0008244F">
            <w:pPr>
              <w:pStyle w:val="CETBodytext"/>
              <w:jc w:val="left"/>
              <w:rPr>
                <w:lang w:val="en-GB"/>
              </w:rPr>
            </w:pPr>
            <w:r>
              <w:rPr>
                <w:lang w:val="en-GB"/>
              </w:rPr>
              <w:t>viscous liquid</w:t>
            </w:r>
          </w:p>
        </w:tc>
        <w:tc>
          <w:tcPr>
            <w:tcW w:w="1304" w:type="dxa"/>
          </w:tcPr>
          <w:p w14:paraId="189A8C04" w14:textId="77777777" w:rsidR="00A078EF" w:rsidRDefault="00A078EF" w:rsidP="0008244F">
            <w:pPr>
              <w:pStyle w:val="CETBodytext"/>
              <w:jc w:val="left"/>
              <w:rPr>
                <w:lang w:val="en-GB"/>
              </w:rPr>
            </w:pPr>
            <w:r>
              <w:rPr>
                <w:lang w:val="en-GB"/>
              </w:rPr>
              <w:t>brown,</w:t>
            </w:r>
          </w:p>
          <w:p w14:paraId="5AD31F48" w14:textId="521F5F5E" w:rsidR="004C2F28" w:rsidRPr="000C6789" w:rsidRDefault="00A078EF" w:rsidP="0008244F">
            <w:pPr>
              <w:pStyle w:val="CETBodytext"/>
              <w:jc w:val="left"/>
              <w:rPr>
                <w:lang w:val="en-GB"/>
              </w:rPr>
            </w:pPr>
            <w:r>
              <w:rPr>
                <w:lang w:val="en-GB"/>
              </w:rPr>
              <w:t>viscous liquid</w:t>
            </w:r>
          </w:p>
        </w:tc>
        <w:tc>
          <w:tcPr>
            <w:tcW w:w="1304" w:type="dxa"/>
          </w:tcPr>
          <w:p w14:paraId="0D804362" w14:textId="77777777" w:rsidR="00826A40" w:rsidRDefault="00481156" w:rsidP="0008244F">
            <w:pPr>
              <w:pStyle w:val="CETBodytext"/>
              <w:jc w:val="left"/>
              <w:rPr>
                <w:lang w:val="en-GB"/>
              </w:rPr>
            </w:pPr>
            <w:r>
              <w:rPr>
                <w:lang w:val="en-GB"/>
              </w:rPr>
              <w:t>yellow</w:t>
            </w:r>
            <w:r w:rsidR="00A078EF">
              <w:rPr>
                <w:lang w:val="en-GB"/>
              </w:rPr>
              <w:t>,</w:t>
            </w:r>
          </w:p>
          <w:p w14:paraId="6B1EC657" w14:textId="0CA5C326" w:rsidR="00A078EF" w:rsidRDefault="00481156" w:rsidP="0008244F">
            <w:pPr>
              <w:pStyle w:val="CETBodytext"/>
              <w:jc w:val="left"/>
              <w:rPr>
                <w:lang w:val="en-GB"/>
              </w:rPr>
            </w:pPr>
            <w:r>
              <w:rPr>
                <w:lang w:val="en-GB"/>
              </w:rPr>
              <w:t xml:space="preserve">slightly </w:t>
            </w:r>
          </w:p>
          <w:p w14:paraId="7063E4AB" w14:textId="499EC600" w:rsidR="004C2F28" w:rsidRPr="000C6789" w:rsidRDefault="00A078EF" w:rsidP="0008244F">
            <w:pPr>
              <w:pStyle w:val="CETBodytext"/>
              <w:jc w:val="left"/>
              <w:rPr>
                <w:lang w:val="en-GB"/>
              </w:rPr>
            </w:pPr>
            <w:r>
              <w:rPr>
                <w:lang w:val="en-GB"/>
              </w:rPr>
              <w:t>viscous liquid</w:t>
            </w:r>
          </w:p>
        </w:tc>
        <w:tc>
          <w:tcPr>
            <w:tcW w:w="1304" w:type="dxa"/>
          </w:tcPr>
          <w:p w14:paraId="022B967D" w14:textId="52CA17B2" w:rsidR="00A078EF" w:rsidRDefault="00570684" w:rsidP="0008244F">
            <w:pPr>
              <w:pStyle w:val="CETBodytext"/>
              <w:jc w:val="left"/>
              <w:rPr>
                <w:lang w:val="en-GB"/>
              </w:rPr>
            </w:pPr>
            <w:r>
              <w:rPr>
                <w:lang w:val="en-GB"/>
              </w:rPr>
              <w:t xml:space="preserve">orange-yellow, slightly </w:t>
            </w:r>
          </w:p>
          <w:p w14:paraId="08A4A31D" w14:textId="5971EA05" w:rsidR="004C2F28" w:rsidRPr="00ED001E" w:rsidRDefault="00A078EF" w:rsidP="0008244F">
            <w:pPr>
              <w:pStyle w:val="CETBodytext"/>
              <w:jc w:val="left"/>
              <w:rPr>
                <w:lang w:val="en-GB"/>
              </w:rPr>
            </w:pPr>
            <w:r>
              <w:rPr>
                <w:lang w:val="en-GB"/>
              </w:rPr>
              <w:t>viscous liquid</w:t>
            </w:r>
          </w:p>
        </w:tc>
        <w:tc>
          <w:tcPr>
            <w:tcW w:w="1304" w:type="dxa"/>
          </w:tcPr>
          <w:p w14:paraId="37D6B272" w14:textId="77777777" w:rsidR="00826A40" w:rsidRDefault="00A078EF" w:rsidP="0008244F">
            <w:pPr>
              <w:pStyle w:val="CETBodytext"/>
              <w:jc w:val="left"/>
              <w:rPr>
                <w:lang w:val="en-GB"/>
              </w:rPr>
            </w:pPr>
            <w:r>
              <w:rPr>
                <w:lang w:val="en-GB"/>
              </w:rPr>
              <w:t>brown,</w:t>
            </w:r>
            <w:r w:rsidR="00570684">
              <w:rPr>
                <w:lang w:val="en-GB"/>
              </w:rPr>
              <w:t xml:space="preserve"> </w:t>
            </w:r>
          </w:p>
          <w:p w14:paraId="20518DFB" w14:textId="5D6647A0" w:rsidR="00570684" w:rsidRDefault="00570684" w:rsidP="0008244F">
            <w:pPr>
              <w:pStyle w:val="CETBodytext"/>
              <w:jc w:val="left"/>
              <w:rPr>
                <w:lang w:val="en-GB"/>
              </w:rPr>
            </w:pPr>
            <w:r>
              <w:rPr>
                <w:lang w:val="en-GB"/>
              </w:rPr>
              <w:t xml:space="preserve">slightly </w:t>
            </w:r>
          </w:p>
          <w:p w14:paraId="0A094778" w14:textId="0C6D3C79" w:rsidR="004C2F28" w:rsidRPr="00ED001E" w:rsidRDefault="00570684" w:rsidP="0008244F">
            <w:pPr>
              <w:pStyle w:val="CETBodytext"/>
              <w:jc w:val="left"/>
              <w:rPr>
                <w:lang w:val="en-GB"/>
              </w:rPr>
            </w:pPr>
            <w:r>
              <w:rPr>
                <w:lang w:val="en-GB"/>
              </w:rPr>
              <w:t>viscous liquid</w:t>
            </w:r>
          </w:p>
        </w:tc>
      </w:tr>
      <w:tr w:rsidR="00117FF4" w:rsidRPr="00B57B36" w14:paraId="26DC59BB" w14:textId="6407A3E2" w:rsidTr="00117FF4">
        <w:tc>
          <w:tcPr>
            <w:tcW w:w="2268" w:type="dxa"/>
          </w:tcPr>
          <w:p w14:paraId="4E895B8D" w14:textId="78D520ED" w:rsidR="00117FF4" w:rsidRPr="00B57B36" w:rsidRDefault="00117FF4" w:rsidP="00117FF4">
            <w:pPr>
              <w:pStyle w:val="CETBodytext"/>
              <w:ind w:right="-1"/>
              <w:jc w:val="left"/>
              <w:rPr>
                <w:rFonts w:cs="Arial"/>
                <w:szCs w:val="18"/>
                <w:lang w:val="en-GB"/>
              </w:rPr>
            </w:pPr>
            <w:r w:rsidRPr="00673649">
              <w:rPr>
                <w:rFonts w:cs="Arial"/>
                <w:szCs w:val="18"/>
                <w:lang w:val="en-GB"/>
              </w:rPr>
              <w:t>Kinematic viscosity at 40 °C [MSZ EN ISO 3104:1996], mm</w:t>
            </w:r>
            <w:r w:rsidRPr="00673649">
              <w:rPr>
                <w:rFonts w:cs="Arial"/>
                <w:szCs w:val="18"/>
                <w:vertAlign w:val="superscript"/>
                <w:lang w:val="en-GB"/>
              </w:rPr>
              <w:t>2</w:t>
            </w:r>
            <w:r w:rsidRPr="00673649">
              <w:rPr>
                <w:rFonts w:cs="Arial"/>
                <w:szCs w:val="18"/>
                <w:lang w:val="en-GB"/>
              </w:rPr>
              <w:t>/s</w:t>
            </w:r>
          </w:p>
        </w:tc>
        <w:tc>
          <w:tcPr>
            <w:tcW w:w="1303" w:type="dxa"/>
          </w:tcPr>
          <w:p w14:paraId="068A202B" w14:textId="0A496C9C" w:rsidR="00117FF4" w:rsidRPr="00117FF4" w:rsidRDefault="00117FF4" w:rsidP="00117FF4">
            <w:pPr>
              <w:pStyle w:val="CETBodytext"/>
              <w:ind w:right="-1"/>
              <w:jc w:val="left"/>
              <w:rPr>
                <w:rFonts w:cs="Arial"/>
                <w:szCs w:val="18"/>
                <w:lang w:val="en-GB"/>
              </w:rPr>
            </w:pPr>
            <w:r w:rsidRPr="00117FF4">
              <w:rPr>
                <w:rFonts w:cs="Arial"/>
                <w:szCs w:val="18"/>
                <w:lang w:val="en-GB"/>
              </w:rPr>
              <w:t>1</w:t>
            </w:r>
            <w:r>
              <w:rPr>
                <w:rFonts w:cs="Arial"/>
                <w:szCs w:val="18"/>
                <w:lang w:val="en-GB"/>
              </w:rPr>
              <w:t> </w:t>
            </w:r>
            <w:r w:rsidRPr="00117FF4">
              <w:rPr>
                <w:rFonts w:cs="Arial"/>
                <w:szCs w:val="18"/>
                <w:lang w:val="en-GB"/>
              </w:rPr>
              <w:t>591</w:t>
            </w:r>
            <w:r>
              <w:rPr>
                <w:rFonts w:cs="Arial"/>
                <w:szCs w:val="18"/>
                <w:lang w:val="en-GB"/>
              </w:rPr>
              <w:t>.</w:t>
            </w:r>
            <w:r w:rsidRPr="00117FF4">
              <w:rPr>
                <w:rFonts w:cs="Arial"/>
                <w:szCs w:val="18"/>
                <w:lang w:val="en-GB"/>
              </w:rPr>
              <w:t>5</w:t>
            </w:r>
          </w:p>
        </w:tc>
        <w:tc>
          <w:tcPr>
            <w:tcW w:w="1304" w:type="dxa"/>
          </w:tcPr>
          <w:p w14:paraId="7C00D354" w14:textId="36AAE776" w:rsidR="00117FF4" w:rsidRPr="00117FF4" w:rsidRDefault="00117FF4" w:rsidP="00117FF4">
            <w:pPr>
              <w:pStyle w:val="CETBodytext"/>
              <w:ind w:right="-1"/>
              <w:jc w:val="left"/>
              <w:rPr>
                <w:rFonts w:cs="Arial"/>
                <w:szCs w:val="18"/>
                <w:lang w:val="en-GB"/>
              </w:rPr>
            </w:pPr>
            <w:r w:rsidRPr="00117FF4">
              <w:rPr>
                <w:rFonts w:cs="Arial"/>
                <w:szCs w:val="18"/>
                <w:lang w:val="en-GB"/>
              </w:rPr>
              <w:t>2</w:t>
            </w:r>
            <w:r>
              <w:rPr>
                <w:rFonts w:cs="Arial"/>
                <w:szCs w:val="18"/>
                <w:lang w:val="en-GB"/>
              </w:rPr>
              <w:t> </w:t>
            </w:r>
            <w:r w:rsidRPr="00117FF4">
              <w:rPr>
                <w:rFonts w:cs="Arial"/>
                <w:szCs w:val="18"/>
                <w:lang w:val="en-GB"/>
              </w:rPr>
              <w:t>763</w:t>
            </w:r>
            <w:r>
              <w:rPr>
                <w:rFonts w:cs="Arial"/>
                <w:szCs w:val="18"/>
                <w:lang w:val="en-GB"/>
              </w:rPr>
              <w:t>.</w:t>
            </w:r>
            <w:r w:rsidRPr="00117FF4">
              <w:rPr>
                <w:rFonts w:cs="Arial"/>
                <w:szCs w:val="18"/>
                <w:lang w:val="en-GB"/>
              </w:rPr>
              <w:t>0</w:t>
            </w:r>
          </w:p>
        </w:tc>
        <w:tc>
          <w:tcPr>
            <w:tcW w:w="1304" w:type="dxa"/>
          </w:tcPr>
          <w:p w14:paraId="46B8492F" w14:textId="556A145A" w:rsidR="00117FF4" w:rsidRPr="00117FF4" w:rsidRDefault="00117FF4" w:rsidP="00117FF4">
            <w:pPr>
              <w:pStyle w:val="CETBodytext"/>
              <w:ind w:right="-1"/>
              <w:jc w:val="left"/>
              <w:rPr>
                <w:rFonts w:cs="Arial"/>
                <w:szCs w:val="18"/>
                <w:lang w:val="en-GB"/>
              </w:rPr>
            </w:pPr>
            <w:r w:rsidRPr="00117FF4">
              <w:rPr>
                <w:rFonts w:cs="Arial"/>
                <w:szCs w:val="18"/>
                <w:lang w:val="en-GB"/>
              </w:rPr>
              <w:t>46</w:t>
            </w:r>
            <w:r>
              <w:rPr>
                <w:rFonts w:cs="Arial"/>
                <w:szCs w:val="18"/>
                <w:lang w:val="en-GB"/>
              </w:rPr>
              <w:t>.</w:t>
            </w:r>
            <w:r w:rsidRPr="00117FF4">
              <w:rPr>
                <w:rFonts w:cs="Arial"/>
                <w:szCs w:val="18"/>
                <w:lang w:val="en-GB"/>
              </w:rPr>
              <w:t>53</w:t>
            </w:r>
          </w:p>
        </w:tc>
        <w:tc>
          <w:tcPr>
            <w:tcW w:w="1304" w:type="dxa"/>
          </w:tcPr>
          <w:p w14:paraId="2F566F9A" w14:textId="2B3937C9" w:rsidR="00117FF4" w:rsidRPr="00117FF4" w:rsidRDefault="00117FF4" w:rsidP="00117FF4">
            <w:pPr>
              <w:pStyle w:val="CETBodytext"/>
              <w:ind w:right="-1"/>
              <w:jc w:val="left"/>
              <w:rPr>
                <w:rFonts w:cs="Arial"/>
                <w:szCs w:val="18"/>
                <w:lang w:val="en-GB"/>
              </w:rPr>
            </w:pPr>
            <w:r w:rsidRPr="00117FF4">
              <w:rPr>
                <w:rFonts w:cs="Arial"/>
                <w:szCs w:val="18"/>
                <w:lang w:val="en-GB"/>
              </w:rPr>
              <w:t>55</w:t>
            </w:r>
            <w:r>
              <w:rPr>
                <w:rFonts w:cs="Arial"/>
                <w:szCs w:val="18"/>
                <w:lang w:val="en-GB"/>
              </w:rPr>
              <w:t>.</w:t>
            </w:r>
            <w:r w:rsidRPr="00117FF4">
              <w:rPr>
                <w:rFonts w:cs="Arial"/>
                <w:szCs w:val="18"/>
                <w:lang w:val="en-GB"/>
              </w:rPr>
              <w:t>67</w:t>
            </w:r>
          </w:p>
        </w:tc>
        <w:tc>
          <w:tcPr>
            <w:tcW w:w="1304" w:type="dxa"/>
          </w:tcPr>
          <w:p w14:paraId="1426FDDB" w14:textId="37190A0B" w:rsidR="00117FF4" w:rsidRPr="00117FF4" w:rsidRDefault="00117FF4" w:rsidP="00117FF4">
            <w:pPr>
              <w:pStyle w:val="CETBodytext"/>
              <w:ind w:right="-1"/>
              <w:jc w:val="left"/>
              <w:rPr>
                <w:rFonts w:cs="Arial"/>
                <w:szCs w:val="18"/>
                <w:lang w:val="en-GB"/>
              </w:rPr>
            </w:pPr>
            <w:r w:rsidRPr="00117FF4">
              <w:rPr>
                <w:rFonts w:cs="Arial"/>
                <w:szCs w:val="18"/>
                <w:lang w:val="en-GB"/>
              </w:rPr>
              <w:t>52</w:t>
            </w:r>
            <w:r w:rsidR="00947B95">
              <w:rPr>
                <w:rFonts w:cs="Arial"/>
                <w:szCs w:val="18"/>
                <w:lang w:val="en-GB"/>
              </w:rPr>
              <w:t>.</w:t>
            </w:r>
            <w:r w:rsidRPr="00117FF4">
              <w:rPr>
                <w:rFonts w:cs="Arial"/>
                <w:szCs w:val="18"/>
                <w:lang w:val="en-GB"/>
              </w:rPr>
              <w:t>01</w:t>
            </w:r>
          </w:p>
        </w:tc>
      </w:tr>
      <w:tr w:rsidR="00117FF4" w:rsidRPr="00B57B36" w14:paraId="743BD0BC" w14:textId="729186A8" w:rsidTr="00117FF4">
        <w:tc>
          <w:tcPr>
            <w:tcW w:w="2268" w:type="dxa"/>
          </w:tcPr>
          <w:p w14:paraId="6E6B239D" w14:textId="4E8E1138" w:rsidR="00117FF4" w:rsidRPr="00B57B36" w:rsidRDefault="00117FF4" w:rsidP="00117FF4">
            <w:pPr>
              <w:pStyle w:val="CETBodytext"/>
              <w:ind w:right="-1"/>
              <w:jc w:val="left"/>
              <w:rPr>
                <w:rFonts w:cs="Arial"/>
                <w:szCs w:val="18"/>
                <w:lang w:val="en-GB"/>
              </w:rPr>
            </w:pPr>
            <w:r w:rsidRPr="00673649">
              <w:rPr>
                <w:rFonts w:cs="Arial"/>
                <w:szCs w:val="18"/>
                <w:lang w:val="en-GB"/>
              </w:rPr>
              <w:t xml:space="preserve">Kinematic viscosity at </w:t>
            </w:r>
            <w:r>
              <w:rPr>
                <w:rFonts w:cs="Arial"/>
                <w:szCs w:val="18"/>
                <w:lang w:val="en-GB"/>
              </w:rPr>
              <w:t>10</w:t>
            </w:r>
            <w:r w:rsidRPr="00673649">
              <w:rPr>
                <w:rFonts w:cs="Arial"/>
                <w:szCs w:val="18"/>
                <w:lang w:val="en-GB"/>
              </w:rPr>
              <w:t>0 °C [MSZ EN ISO 3104:1996], mm</w:t>
            </w:r>
            <w:r w:rsidRPr="00673649">
              <w:rPr>
                <w:rFonts w:cs="Arial"/>
                <w:szCs w:val="18"/>
                <w:vertAlign w:val="superscript"/>
                <w:lang w:val="en-GB"/>
              </w:rPr>
              <w:t>2</w:t>
            </w:r>
            <w:r w:rsidRPr="00673649">
              <w:rPr>
                <w:rFonts w:cs="Arial"/>
                <w:szCs w:val="18"/>
                <w:lang w:val="en-GB"/>
              </w:rPr>
              <w:t>/s</w:t>
            </w:r>
          </w:p>
        </w:tc>
        <w:tc>
          <w:tcPr>
            <w:tcW w:w="1303" w:type="dxa"/>
          </w:tcPr>
          <w:p w14:paraId="1F421F38" w14:textId="7BF45C42" w:rsidR="00117FF4" w:rsidRPr="00117FF4" w:rsidRDefault="00117FF4" w:rsidP="00117FF4">
            <w:pPr>
              <w:pStyle w:val="CETBodytext"/>
              <w:ind w:right="-1"/>
              <w:jc w:val="left"/>
              <w:rPr>
                <w:rFonts w:cs="Arial"/>
                <w:szCs w:val="18"/>
                <w:lang w:val="en-GB"/>
              </w:rPr>
            </w:pPr>
            <w:r w:rsidRPr="00117FF4">
              <w:rPr>
                <w:rFonts w:cs="Arial"/>
                <w:szCs w:val="18"/>
                <w:lang w:val="en-GB"/>
              </w:rPr>
              <w:t>121</w:t>
            </w:r>
            <w:r>
              <w:rPr>
                <w:rFonts w:cs="Arial"/>
                <w:szCs w:val="18"/>
                <w:lang w:val="en-GB"/>
              </w:rPr>
              <w:t>.</w:t>
            </w:r>
            <w:r w:rsidRPr="00117FF4">
              <w:rPr>
                <w:rFonts w:cs="Arial"/>
                <w:szCs w:val="18"/>
                <w:lang w:val="en-GB"/>
              </w:rPr>
              <w:t>7</w:t>
            </w:r>
          </w:p>
        </w:tc>
        <w:tc>
          <w:tcPr>
            <w:tcW w:w="1304" w:type="dxa"/>
          </w:tcPr>
          <w:p w14:paraId="46B47173" w14:textId="6DFC1D13" w:rsidR="00117FF4" w:rsidRPr="00117FF4" w:rsidRDefault="00117FF4" w:rsidP="00117FF4">
            <w:pPr>
              <w:pStyle w:val="CETBodytext"/>
              <w:ind w:right="-1"/>
              <w:jc w:val="left"/>
              <w:rPr>
                <w:rFonts w:cs="Arial"/>
                <w:szCs w:val="18"/>
                <w:lang w:val="en-GB"/>
              </w:rPr>
            </w:pPr>
            <w:r w:rsidRPr="00117FF4">
              <w:rPr>
                <w:rFonts w:cs="Arial"/>
                <w:szCs w:val="18"/>
                <w:lang w:val="en-GB"/>
              </w:rPr>
              <w:t>322</w:t>
            </w:r>
            <w:r>
              <w:rPr>
                <w:rFonts w:cs="Arial"/>
                <w:szCs w:val="18"/>
                <w:lang w:val="en-GB"/>
              </w:rPr>
              <w:t>.</w:t>
            </w:r>
            <w:r w:rsidRPr="00117FF4">
              <w:rPr>
                <w:rFonts w:cs="Arial"/>
                <w:szCs w:val="18"/>
                <w:lang w:val="en-GB"/>
              </w:rPr>
              <w:t>2</w:t>
            </w:r>
          </w:p>
        </w:tc>
        <w:tc>
          <w:tcPr>
            <w:tcW w:w="1304" w:type="dxa"/>
          </w:tcPr>
          <w:p w14:paraId="137114E8" w14:textId="530C36DE" w:rsidR="00117FF4" w:rsidRPr="00117FF4" w:rsidRDefault="00117FF4" w:rsidP="00117FF4">
            <w:pPr>
              <w:pStyle w:val="CETBodytext"/>
              <w:ind w:right="-1"/>
              <w:jc w:val="left"/>
              <w:rPr>
                <w:rFonts w:cs="Arial"/>
                <w:szCs w:val="18"/>
                <w:lang w:val="en-GB"/>
              </w:rPr>
            </w:pPr>
            <w:r w:rsidRPr="00117FF4">
              <w:rPr>
                <w:rFonts w:cs="Arial"/>
                <w:szCs w:val="18"/>
                <w:lang w:val="en-GB"/>
              </w:rPr>
              <w:t>6</w:t>
            </w:r>
            <w:r>
              <w:rPr>
                <w:rFonts w:cs="Arial"/>
                <w:szCs w:val="18"/>
                <w:lang w:val="en-GB"/>
              </w:rPr>
              <w:t>.</w:t>
            </w:r>
            <w:r w:rsidRPr="00117FF4">
              <w:rPr>
                <w:rFonts w:cs="Arial"/>
                <w:szCs w:val="18"/>
                <w:lang w:val="en-GB"/>
              </w:rPr>
              <w:t>42</w:t>
            </w:r>
          </w:p>
        </w:tc>
        <w:tc>
          <w:tcPr>
            <w:tcW w:w="1304" w:type="dxa"/>
          </w:tcPr>
          <w:p w14:paraId="45DC1AE1" w14:textId="0F2CE71A" w:rsidR="00117FF4" w:rsidRPr="00117FF4" w:rsidRDefault="00117FF4" w:rsidP="00117FF4">
            <w:pPr>
              <w:pStyle w:val="CETBodytext"/>
              <w:ind w:right="-1"/>
              <w:jc w:val="left"/>
              <w:rPr>
                <w:rFonts w:cs="Arial"/>
                <w:szCs w:val="18"/>
                <w:lang w:val="en-GB"/>
              </w:rPr>
            </w:pPr>
            <w:r w:rsidRPr="00117FF4">
              <w:rPr>
                <w:rFonts w:cs="Arial"/>
                <w:szCs w:val="18"/>
                <w:lang w:val="en-GB"/>
              </w:rPr>
              <w:t>8</w:t>
            </w:r>
            <w:r>
              <w:rPr>
                <w:rFonts w:cs="Arial"/>
                <w:szCs w:val="18"/>
                <w:lang w:val="en-GB"/>
              </w:rPr>
              <w:t>.</w:t>
            </w:r>
            <w:r w:rsidRPr="00117FF4">
              <w:rPr>
                <w:rFonts w:cs="Arial"/>
                <w:szCs w:val="18"/>
                <w:lang w:val="en-GB"/>
              </w:rPr>
              <w:t>57</w:t>
            </w:r>
          </w:p>
        </w:tc>
        <w:tc>
          <w:tcPr>
            <w:tcW w:w="1304" w:type="dxa"/>
          </w:tcPr>
          <w:p w14:paraId="53E7C2E2" w14:textId="28BCE00F" w:rsidR="00117FF4" w:rsidRPr="00117FF4" w:rsidRDefault="00117FF4" w:rsidP="00117FF4">
            <w:pPr>
              <w:pStyle w:val="CETBodytext"/>
              <w:ind w:right="-1"/>
              <w:jc w:val="left"/>
              <w:rPr>
                <w:rFonts w:cs="Arial"/>
                <w:szCs w:val="18"/>
                <w:lang w:val="en-GB"/>
              </w:rPr>
            </w:pPr>
            <w:r w:rsidRPr="00117FF4">
              <w:rPr>
                <w:rFonts w:cs="Arial"/>
                <w:szCs w:val="18"/>
                <w:lang w:val="en-GB"/>
              </w:rPr>
              <w:t>8</w:t>
            </w:r>
            <w:r w:rsidR="00947B95">
              <w:rPr>
                <w:rFonts w:cs="Arial"/>
                <w:szCs w:val="18"/>
                <w:lang w:val="en-GB"/>
              </w:rPr>
              <w:t>.</w:t>
            </w:r>
            <w:r w:rsidRPr="00117FF4">
              <w:rPr>
                <w:rFonts w:cs="Arial"/>
                <w:szCs w:val="18"/>
                <w:lang w:val="en-GB"/>
              </w:rPr>
              <w:t>72</w:t>
            </w:r>
          </w:p>
        </w:tc>
      </w:tr>
      <w:tr w:rsidR="00117FF4" w:rsidRPr="00E74A52" w14:paraId="6CD90DD0" w14:textId="4C1A65CE" w:rsidTr="00117FF4">
        <w:tc>
          <w:tcPr>
            <w:tcW w:w="2268" w:type="dxa"/>
          </w:tcPr>
          <w:p w14:paraId="35C3AEF0" w14:textId="17BEC670" w:rsidR="00117FF4" w:rsidRPr="00E74A52" w:rsidRDefault="00117FF4" w:rsidP="00117FF4">
            <w:pPr>
              <w:pStyle w:val="CETBodytext"/>
              <w:ind w:right="-1"/>
              <w:jc w:val="left"/>
              <w:rPr>
                <w:rFonts w:cs="Arial"/>
                <w:szCs w:val="18"/>
                <w:lang w:val="fr-FR"/>
              </w:rPr>
            </w:pPr>
            <w:r w:rsidRPr="00E74A52">
              <w:rPr>
                <w:rFonts w:cs="Arial"/>
                <w:szCs w:val="18"/>
                <w:lang w:val="fr-FR"/>
              </w:rPr>
              <w:t>Sulfur content [ASTM D 5185-18], wt%</w:t>
            </w:r>
          </w:p>
        </w:tc>
        <w:tc>
          <w:tcPr>
            <w:tcW w:w="1303" w:type="dxa"/>
          </w:tcPr>
          <w:p w14:paraId="2F1B03BB" w14:textId="7AED8D64" w:rsidR="00117FF4" w:rsidRPr="00117FF4" w:rsidRDefault="00117FF4" w:rsidP="00117FF4">
            <w:pPr>
              <w:pStyle w:val="CETBodytext"/>
              <w:ind w:right="-1"/>
              <w:jc w:val="left"/>
              <w:rPr>
                <w:rFonts w:cs="Arial"/>
                <w:szCs w:val="18"/>
                <w:lang w:val="en-GB"/>
              </w:rPr>
            </w:pPr>
            <w:r w:rsidRPr="00117FF4">
              <w:rPr>
                <w:rFonts w:cs="Arial"/>
                <w:szCs w:val="18"/>
                <w:lang w:val="en-GB"/>
              </w:rPr>
              <w:t>11</w:t>
            </w:r>
            <w:r>
              <w:rPr>
                <w:rFonts w:cs="Arial"/>
                <w:szCs w:val="18"/>
                <w:lang w:val="en-GB"/>
              </w:rPr>
              <w:t>.</w:t>
            </w:r>
            <w:r w:rsidRPr="00117FF4">
              <w:rPr>
                <w:rFonts w:cs="Arial"/>
                <w:szCs w:val="18"/>
                <w:lang w:val="en-GB"/>
              </w:rPr>
              <w:t>140</w:t>
            </w:r>
          </w:p>
        </w:tc>
        <w:tc>
          <w:tcPr>
            <w:tcW w:w="1304" w:type="dxa"/>
          </w:tcPr>
          <w:p w14:paraId="3A6AEEE8" w14:textId="35770756" w:rsidR="00117FF4" w:rsidRPr="00117FF4" w:rsidRDefault="00117FF4" w:rsidP="00117FF4">
            <w:pPr>
              <w:pStyle w:val="CETBodytext"/>
              <w:ind w:right="-1"/>
              <w:jc w:val="left"/>
              <w:rPr>
                <w:rFonts w:cs="Arial"/>
                <w:szCs w:val="18"/>
                <w:lang w:val="en-GB"/>
              </w:rPr>
            </w:pPr>
            <w:r w:rsidRPr="00117FF4">
              <w:rPr>
                <w:rFonts w:cs="Arial"/>
                <w:szCs w:val="18"/>
                <w:lang w:val="en-GB"/>
              </w:rPr>
              <w:t>9</w:t>
            </w:r>
            <w:r>
              <w:rPr>
                <w:rFonts w:cs="Arial"/>
                <w:szCs w:val="18"/>
                <w:lang w:val="en-GB"/>
              </w:rPr>
              <w:t>.</w:t>
            </w:r>
            <w:r w:rsidRPr="00117FF4">
              <w:rPr>
                <w:rFonts w:cs="Arial"/>
                <w:szCs w:val="18"/>
                <w:lang w:val="en-GB"/>
              </w:rPr>
              <w:t>232</w:t>
            </w:r>
          </w:p>
        </w:tc>
        <w:tc>
          <w:tcPr>
            <w:tcW w:w="1304" w:type="dxa"/>
          </w:tcPr>
          <w:p w14:paraId="335C092F" w14:textId="5542EB66" w:rsidR="00117FF4" w:rsidRPr="00117FF4" w:rsidRDefault="00117FF4" w:rsidP="00117FF4">
            <w:pPr>
              <w:pStyle w:val="CETBodytext"/>
              <w:ind w:right="-1"/>
              <w:jc w:val="left"/>
              <w:rPr>
                <w:rFonts w:cs="Arial"/>
                <w:szCs w:val="18"/>
                <w:lang w:val="en-GB"/>
              </w:rPr>
            </w:pPr>
            <w:r w:rsidRPr="00117FF4">
              <w:rPr>
                <w:rFonts w:cs="Arial"/>
                <w:szCs w:val="18"/>
                <w:lang w:val="en-GB"/>
              </w:rPr>
              <w:t>2</w:t>
            </w:r>
            <w:r>
              <w:rPr>
                <w:rFonts w:cs="Arial"/>
                <w:szCs w:val="18"/>
                <w:lang w:val="en-GB"/>
              </w:rPr>
              <w:t>.</w:t>
            </w:r>
            <w:r w:rsidRPr="00117FF4">
              <w:rPr>
                <w:rFonts w:cs="Arial"/>
                <w:szCs w:val="18"/>
                <w:lang w:val="en-GB"/>
              </w:rPr>
              <w:t>040</w:t>
            </w:r>
          </w:p>
        </w:tc>
        <w:tc>
          <w:tcPr>
            <w:tcW w:w="1304" w:type="dxa"/>
          </w:tcPr>
          <w:p w14:paraId="34A22FF6" w14:textId="4EBC5B9D" w:rsidR="00117FF4" w:rsidRPr="00117FF4" w:rsidRDefault="00117FF4" w:rsidP="00117FF4">
            <w:pPr>
              <w:pStyle w:val="CETBodytext"/>
              <w:ind w:right="-1"/>
              <w:jc w:val="left"/>
              <w:rPr>
                <w:rFonts w:cs="Arial"/>
                <w:szCs w:val="18"/>
                <w:lang w:val="en-GB"/>
              </w:rPr>
            </w:pPr>
            <w:r w:rsidRPr="00117FF4">
              <w:rPr>
                <w:rFonts w:cs="Arial"/>
                <w:szCs w:val="18"/>
                <w:lang w:val="en-GB"/>
              </w:rPr>
              <w:t>5</w:t>
            </w:r>
            <w:r>
              <w:rPr>
                <w:rFonts w:cs="Arial"/>
                <w:szCs w:val="18"/>
                <w:lang w:val="en-GB"/>
              </w:rPr>
              <w:t>.</w:t>
            </w:r>
            <w:r w:rsidRPr="00117FF4">
              <w:rPr>
                <w:rFonts w:cs="Arial"/>
                <w:szCs w:val="18"/>
                <w:lang w:val="en-GB"/>
              </w:rPr>
              <w:t>310</w:t>
            </w:r>
          </w:p>
        </w:tc>
        <w:tc>
          <w:tcPr>
            <w:tcW w:w="1304" w:type="dxa"/>
          </w:tcPr>
          <w:p w14:paraId="2BC063E8" w14:textId="56C534EC" w:rsidR="00117FF4" w:rsidRPr="00117FF4" w:rsidRDefault="00117FF4" w:rsidP="00117FF4">
            <w:pPr>
              <w:pStyle w:val="CETBodytext"/>
              <w:ind w:right="-1"/>
              <w:jc w:val="left"/>
              <w:rPr>
                <w:rFonts w:cs="Arial"/>
                <w:szCs w:val="18"/>
                <w:lang w:val="en-GB"/>
              </w:rPr>
            </w:pPr>
            <w:r w:rsidRPr="00117FF4">
              <w:rPr>
                <w:rFonts w:cs="Arial"/>
                <w:szCs w:val="18"/>
                <w:lang w:val="en-GB"/>
              </w:rPr>
              <w:t>18</w:t>
            </w:r>
            <w:r w:rsidR="00947B95">
              <w:rPr>
                <w:rFonts w:cs="Arial"/>
                <w:szCs w:val="18"/>
                <w:lang w:val="en-GB"/>
              </w:rPr>
              <w:t>.</w:t>
            </w:r>
            <w:r w:rsidRPr="00117FF4">
              <w:rPr>
                <w:rFonts w:cs="Arial"/>
                <w:szCs w:val="18"/>
                <w:lang w:val="en-GB"/>
              </w:rPr>
              <w:t>441</w:t>
            </w:r>
          </w:p>
        </w:tc>
      </w:tr>
      <w:tr w:rsidR="00117FF4" w:rsidRPr="00E74A52" w14:paraId="39CE2573" w14:textId="77777777" w:rsidTr="00117FF4">
        <w:tc>
          <w:tcPr>
            <w:tcW w:w="2268" w:type="dxa"/>
          </w:tcPr>
          <w:p w14:paraId="76887758" w14:textId="77777777" w:rsidR="00826A40" w:rsidRDefault="00117FF4" w:rsidP="00117FF4">
            <w:pPr>
              <w:pStyle w:val="CETBodytext"/>
              <w:ind w:right="-1"/>
              <w:jc w:val="left"/>
              <w:rPr>
                <w:rFonts w:cs="Arial"/>
                <w:szCs w:val="18"/>
                <w:lang w:val="fr-FR"/>
              </w:rPr>
            </w:pPr>
            <w:r>
              <w:rPr>
                <w:rFonts w:cs="Arial"/>
                <w:szCs w:val="18"/>
                <w:lang w:val="fr-FR"/>
              </w:rPr>
              <w:t xml:space="preserve">Active sulfur content </w:t>
            </w:r>
          </w:p>
          <w:p w14:paraId="2EAC7FDE" w14:textId="6C576686" w:rsidR="00117FF4" w:rsidRPr="00E74A52" w:rsidRDefault="00117FF4" w:rsidP="00117FF4">
            <w:pPr>
              <w:pStyle w:val="CETBodytext"/>
              <w:ind w:right="-1"/>
              <w:jc w:val="left"/>
              <w:rPr>
                <w:rFonts w:cs="Arial"/>
                <w:szCs w:val="18"/>
                <w:lang w:val="fr-FR"/>
              </w:rPr>
            </w:pPr>
            <w:r>
              <w:rPr>
                <w:rFonts w:cs="Arial"/>
                <w:szCs w:val="18"/>
                <w:lang w:val="fr-FR"/>
              </w:rPr>
              <w:t>[ASTM D 1662-07], wt%</w:t>
            </w:r>
          </w:p>
        </w:tc>
        <w:tc>
          <w:tcPr>
            <w:tcW w:w="1303" w:type="dxa"/>
          </w:tcPr>
          <w:p w14:paraId="2AB22A7C" w14:textId="326AAA16" w:rsidR="00117FF4" w:rsidRPr="00117FF4" w:rsidRDefault="00117FF4" w:rsidP="00117FF4">
            <w:pPr>
              <w:pStyle w:val="CETBodytext"/>
              <w:ind w:right="-1"/>
              <w:jc w:val="left"/>
              <w:rPr>
                <w:rFonts w:cs="Arial"/>
                <w:szCs w:val="18"/>
                <w:lang w:val="en-GB"/>
              </w:rPr>
            </w:pPr>
            <w:r w:rsidRPr="00117FF4">
              <w:rPr>
                <w:rFonts w:cs="Arial"/>
                <w:szCs w:val="18"/>
                <w:lang w:val="en-GB"/>
              </w:rPr>
              <w:t>0</w:t>
            </w:r>
            <w:r>
              <w:rPr>
                <w:rFonts w:cs="Arial"/>
                <w:szCs w:val="18"/>
                <w:lang w:val="en-GB"/>
              </w:rPr>
              <w:t>.</w:t>
            </w:r>
            <w:r w:rsidRPr="00117FF4">
              <w:rPr>
                <w:rFonts w:cs="Arial"/>
                <w:szCs w:val="18"/>
                <w:lang w:val="en-GB"/>
              </w:rPr>
              <w:t>44</w:t>
            </w:r>
          </w:p>
        </w:tc>
        <w:tc>
          <w:tcPr>
            <w:tcW w:w="1304" w:type="dxa"/>
          </w:tcPr>
          <w:p w14:paraId="1014B1CA" w14:textId="33ADEBC0" w:rsidR="00117FF4" w:rsidRPr="00117FF4" w:rsidRDefault="00117FF4" w:rsidP="00117FF4">
            <w:pPr>
              <w:pStyle w:val="CETBodytext"/>
              <w:ind w:right="-1"/>
              <w:jc w:val="left"/>
              <w:rPr>
                <w:rFonts w:cs="Arial"/>
                <w:szCs w:val="18"/>
                <w:lang w:val="en-GB"/>
              </w:rPr>
            </w:pPr>
            <w:r w:rsidRPr="00117FF4">
              <w:rPr>
                <w:rFonts w:cs="Arial"/>
                <w:szCs w:val="18"/>
                <w:lang w:val="en-GB"/>
              </w:rPr>
              <w:t>0</w:t>
            </w:r>
            <w:r w:rsidR="00947B95">
              <w:rPr>
                <w:rFonts w:cs="Arial"/>
                <w:szCs w:val="18"/>
                <w:lang w:val="en-GB"/>
              </w:rPr>
              <w:t>.</w:t>
            </w:r>
            <w:r w:rsidRPr="00117FF4">
              <w:rPr>
                <w:rFonts w:cs="Arial"/>
                <w:szCs w:val="18"/>
                <w:lang w:val="en-GB"/>
              </w:rPr>
              <w:t>0</w:t>
            </w:r>
            <w:r w:rsidR="007A749C">
              <w:rPr>
                <w:rFonts w:cs="Arial"/>
                <w:szCs w:val="18"/>
                <w:lang w:val="en-GB"/>
              </w:rPr>
              <w:t>0</w:t>
            </w:r>
          </w:p>
        </w:tc>
        <w:tc>
          <w:tcPr>
            <w:tcW w:w="1304" w:type="dxa"/>
          </w:tcPr>
          <w:p w14:paraId="04F54497" w14:textId="02220A3B" w:rsidR="00117FF4" w:rsidRPr="00826A40" w:rsidRDefault="00826A40" w:rsidP="00117FF4">
            <w:pPr>
              <w:pStyle w:val="CETBodytext"/>
              <w:ind w:right="-1"/>
              <w:jc w:val="left"/>
              <w:rPr>
                <w:rFonts w:cs="Arial"/>
                <w:szCs w:val="18"/>
                <w:lang w:val="en-GB"/>
              </w:rPr>
            </w:pPr>
            <w:r w:rsidRPr="00826A40">
              <w:rPr>
                <w:rFonts w:cs="Arial"/>
                <w:szCs w:val="18"/>
                <w:lang w:val="en-GB"/>
              </w:rPr>
              <w:t>1.12</w:t>
            </w:r>
          </w:p>
        </w:tc>
        <w:tc>
          <w:tcPr>
            <w:tcW w:w="1304" w:type="dxa"/>
          </w:tcPr>
          <w:p w14:paraId="5054FCCB" w14:textId="0C22C502" w:rsidR="00117FF4" w:rsidRPr="00826A40" w:rsidRDefault="00826A40" w:rsidP="00117FF4">
            <w:pPr>
              <w:pStyle w:val="CETBodytext"/>
              <w:ind w:right="-1"/>
              <w:jc w:val="left"/>
              <w:rPr>
                <w:rFonts w:cs="Arial"/>
                <w:szCs w:val="18"/>
                <w:lang w:val="en-GB"/>
              </w:rPr>
            </w:pPr>
            <w:r w:rsidRPr="00826A40">
              <w:rPr>
                <w:rFonts w:cs="Arial"/>
                <w:szCs w:val="18"/>
                <w:lang w:val="en-GB"/>
              </w:rPr>
              <w:t>2.11</w:t>
            </w:r>
          </w:p>
        </w:tc>
        <w:tc>
          <w:tcPr>
            <w:tcW w:w="1304" w:type="dxa"/>
          </w:tcPr>
          <w:p w14:paraId="6772CA77" w14:textId="5A346811" w:rsidR="00117FF4" w:rsidRPr="00117FF4" w:rsidRDefault="00117FF4" w:rsidP="00117FF4">
            <w:pPr>
              <w:pStyle w:val="CETBodytext"/>
              <w:ind w:right="-1"/>
              <w:jc w:val="left"/>
              <w:rPr>
                <w:rFonts w:cs="Arial"/>
                <w:szCs w:val="18"/>
                <w:lang w:val="en-GB"/>
              </w:rPr>
            </w:pPr>
            <w:r w:rsidRPr="00117FF4">
              <w:rPr>
                <w:rFonts w:cs="Arial"/>
                <w:szCs w:val="18"/>
                <w:lang w:val="en-GB"/>
              </w:rPr>
              <w:t>6</w:t>
            </w:r>
            <w:r w:rsidR="00947B95">
              <w:rPr>
                <w:rFonts w:cs="Arial"/>
                <w:szCs w:val="18"/>
                <w:lang w:val="en-GB"/>
              </w:rPr>
              <w:t>.</w:t>
            </w:r>
            <w:r w:rsidRPr="00117FF4">
              <w:rPr>
                <w:rFonts w:cs="Arial"/>
                <w:szCs w:val="18"/>
                <w:lang w:val="en-GB"/>
              </w:rPr>
              <w:t>99</w:t>
            </w:r>
          </w:p>
        </w:tc>
      </w:tr>
      <w:tr w:rsidR="00117FF4" w:rsidRPr="00837075" w14:paraId="7CEC843B" w14:textId="77777777" w:rsidTr="00117FF4">
        <w:tc>
          <w:tcPr>
            <w:tcW w:w="2268" w:type="dxa"/>
          </w:tcPr>
          <w:p w14:paraId="11803856" w14:textId="106D42B3" w:rsidR="00117FF4" w:rsidRPr="00837075" w:rsidRDefault="00117FF4" w:rsidP="00117FF4">
            <w:pPr>
              <w:pStyle w:val="CETBodytext"/>
              <w:ind w:right="-1"/>
              <w:jc w:val="left"/>
              <w:rPr>
                <w:rFonts w:cs="Arial"/>
                <w:szCs w:val="18"/>
              </w:rPr>
            </w:pPr>
            <w:r w:rsidRPr="00837075">
              <w:rPr>
                <w:rFonts w:cs="Arial"/>
                <w:szCs w:val="18"/>
              </w:rPr>
              <w:t>Four-ball test -</w:t>
            </w:r>
            <w:r>
              <w:rPr>
                <w:rFonts w:cs="Arial"/>
                <w:szCs w:val="18"/>
              </w:rPr>
              <w:t xml:space="preserve"> </w:t>
            </w:r>
            <w:r w:rsidRPr="00837075">
              <w:rPr>
                <w:rFonts w:cs="Arial"/>
                <w:szCs w:val="18"/>
              </w:rPr>
              <w:t>weld load</w:t>
            </w:r>
            <w:r>
              <w:rPr>
                <w:rFonts w:cs="Arial"/>
                <w:szCs w:val="18"/>
              </w:rPr>
              <w:t xml:space="preserve"> </w:t>
            </w:r>
            <w:r w:rsidRPr="00837075">
              <w:rPr>
                <w:rFonts w:cs="Arial"/>
                <w:szCs w:val="18"/>
              </w:rPr>
              <w:t>[DIN 51350-4:2015], N</w:t>
            </w:r>
          </w:p>
        </w:tc>
        <w:tc>
          <w:tcPr>
            <w:tcW w:w="1303" w:type="dxa"/>
          </w:tcPr>
          <w:p w14:paraId="7EFE05F1" w14:textId="2074C8B9" w:rsidR="00117FF4" w:rsidRPr="00117FF4" w:rsidRDefault="006306E2" w:rsidP="00117FF4">
            <w:pPr>
              <w:pStyle w:val="CETBodytext"/>
              <w:ind w:right="-1"/>
              <w:jc w:val="left"/>
              <w:rPr>
                <w:rFonts w:cs="Arial"/>
                <w:szCs w:val="18"/>
                <w:lang w:val="en-GB"/>
              </w:rPr>
            </w:pPr>
            <w:r>
              <w:rPr>
                <w:rFonts w:cs="Arial"/>
                <w:szCs w:val="18"/>
                <w:lang w:val="en-GB"/>
              </w:rPr>
              <w:t>2 300</w:t>
            </w:r>
          </w:p>
        </w:tc>
        <w:tc>
          <w:tcPr>
            <w:tcW w:w="1304" w:type="dxa"/>
          </w:tcPr>
          <w:p w14:paraId="7236F26C" w14:textId="65359DD9" w:rsidR="00117FF4" w:rsidRPr="00117FF4" w:rsidRDefault="006306E2" w:rsidP="00117FF4">
            <w:pPr>
              <w:pStyle w:val="CETBodytext"/>
              <w:ind w:right="-1"/>
              <w:jc w:val="left"/>
              <w:rPr>
                <w:rFonts w:cs="Arial"/>
                <w:szCs w:val="18"/>
                <w:lang w:val="en-GB"/>
              </w:rPr>
            </w:pPr>
            <w:r>
              <w:rPr>
                <w:rFonts w:cs="Arial"/>
                <w:szCs w:val="18"/>
                <w:lang w:val="en-GB"/>
              </w:rPr>
              <w:t>2 300</w:t>
            </w:r>
          </w:p>
        </w:tc>
        <w:tc>
          <w:tcPr>
            <w:tcW w:w="1304" w:type="dxa"/>
          </w:tcPr>
          <w:p w14:paraId="40FF0D73" w14:textId="08D54F1B" w:rsidR="00117FF4" w:rsidRPr="00117FF4" w:rsidRDefault="00117FF4" w:rsidP="00117FF4">
            <w:pPr>
              <w:pStyle w:val="CETBodytext"/>
              <w:ind w:right="-1"/>
              <w:jc w:val="left"/>
              <w:rPr>
                <w:rFonts w:cs="Arial"/>
                <w:szCs w:val="18"/>
                <w:lang w:val="en-GB"/>
              </w:rPr>
            </w:pPr>
            <w:r w:rsidRPr="00117FF4">
              <w:rPr>
                <w:rFonts w:cs="Arial"/>
                <w:szCs w:val="18"/>
                <w:lang w:val="en-GB"/>
              </w:rPr>
              <w:t>1</w:t>
            </w:r>
            <w:r w:rsidR="00947B95">
              <w:rPr>
                <w:rFonts w:cs="Arial"/>
                <w:szCs w:val="18"/>
                <w:lang w:val="en-GB"/>
              </w:rPr>
              <w:t xml:space="preserve"> </w:t>
            </w:r>
            <w:r w:rsidRPr="00117FF4">
              <w:rPr>
                <w:rFonts w:cs="Arial"/>
                <w:szCs w:val="18"/>
                <w:lang w:val="en-GB"/>
              </w:rPr>
              <w:t>600</w:t>
            </w:r>
          </w:p>
        </w:tc>
        <w:tc>
          <w:tcPr>
            <w:tcW w:w="1304" w:type="dxa"/>
          </w:tcPr>
          <w:p w14:paraId="13B3C421" w14:textId="2B13871B" w:rsidR="00117FF4" w:rsidRPr="00117FF4" w:rsidRDefault="00117FF4" w:rsidP="00117FF4">
            <w:pPr>
              <w:pStyle w:val="CETBodytext"/>
              <w:ind w:right="-1"/>
              <w:jc w:val="left"/>
              <w:rPr>
                <w:rFonts w:cs="Arial"/>
                <w:szCs w:val="18"/>
                <w:lang w:val="en-GB"/>
              </w:rPr>
            </w:pPr>
            <w:r w:rsidRPr="00117FF4">
              <w:rPr>
                <w:rFonts w:cs="Arial"/>
                <w:szCs w:val="18"/>
                <w:lang w:val="en-GB"/>
              </w:rPr>
              <w:t>2</w:t>
            </w:r>
            <w:r>
              <w:rPr>
                <w:rFonts w:cs="Arial"/>
                <w:szCs w:val="18"/>
                <w:lang w:val="en-GB"/>
              </w:rPr>
              <w:t xml:space="preserve"> </w:t>
            </w:r>
            <w:r w:rsidRPr="00117FF4">
              <w:rPr>
                <w:rFonts w:cs="Arial"/>
                <w:szCs w:val="18"/>
                <w:lang w:val="en-GB"/>
              </w:rPr>
              <w:t>000</w:t>
            </w:r>
          </w:p>
        </w:tc>
        <w:tc>
          <w:tcPr>
            <w:tcW w:w="1304" w:type="dxa"/>
          </w:tcPr>
          <w:p w14:paraId="7277E72C" w14:textId="0C3A4DC4" w:rsidR="00117FF4" w:rsidRPr="00117FF4" w:rsidRDefault="00117FF4" w:rsidP="00117FF4">
            <w:pPr>
              <w:pStyle w:val="CETBodytext"/>
              <w:ind w:right="-1"/>
              <w:jc w:val="left"/>
              <w:rPr>
                <w:rFonts w:cs="Arial"/>
                <w:szCs w:val="18"/>
                <w:lang w:val="en-GB"/>
              </w:rPr>
            </w:pPr>
            <w:r w:rsidRPr="00117FF4">
              <w:rPr>
                <w:rFonts w:cs="Arial"/>
                <w:szCs w:val="18"/>
                <w:lang w:val="en-GB"/>
              </w:rPr>
              <w:t xml:space="preserve">2 </w:t>
            </w:r>
            <w:r w:rsidR="00667284">
              <w:rPr>
                <w:rFonts w:cs="Arial"/>
                <w:szCs w:val="18"/>
                <w:lang w:val="en-GB"/>
              </w:rPr>
              <w:t>4</w:t>
            </w:r>
            <w:r w:rsidRPr="00117FF4">
              <w:rPr>
                <w:rFonts w:cs="Arial"/>
                <w:szCs w:val="18"/>
                <w:lang w:val="en-GB"/>
              </w:rPr>
              <w:t>00</w:t>
            </w:r>
          </w:p>
        </w:tc>
      </w:tr>
      <w:tr w:rsidR="00117FF4" w:rsidRPr="00837075" w14:paraId="3C293854" w14:textId="77777777" w:rsidTr="00117FF4">
        <w:tc>
          <w:tcPr>
            <w:tcW w:w="2268" w:type="dxa"/>
          </w:tcPr>
          <w:p w14:paraId="1899D860" w14:textId="78040EFB" w:rsidR="00117FF4" w:rsidRPr="00837075" w:rsidRDefault="00117FF4" w:rsidP="00117FF4">
            <w:pPr>
              <w:pStyle w:val="CETBodytext"/>
              <w:ind w:right="-1"/>
              <w:jc w:val="left"/>
              <w:rPr>
                <w:rFonts w:cs="Arial"/>
                <w:szCs w:val="18"/>
              </w:rPr>
            </w:pPr>
            <w:r w:rsidRPr="00837075">
              <w:rPr>
                <w:rFonts w:cs="Arial"/>
                <w:szCs w:val="18"/>
              </w:rPr>
              <w:t>Four-ball test -</w:t>
            </w:r>
            <w:r>
              <w:rPr>
                <w:rFonts w:cs="Arial"/>
                <w:szCs w:val="18"/>
              </w:rPr>
              <w:t xml:space="preserve"> </w:t>
            </w:r>
            <w:r w:rsidRPr="00837075">
              <w:rPr>
                <w:rFonts w:cs="Arial"/>
                <w:szCs w:val="18"/>
              </w:rPr>
              <w:t>scar diameter</w:t>
            </w:r>
            <w:r>
              <w:rPr>
                <w:rFonts w:cs="Arial"/>
                <w:szCs w:val="18"/>
              </w:rPr>
              <w:t xml:space="preserve"> </w:t>
            </w:r>
            <w:r w:rsidRPr="00837075">
              <w:rPr>
                <w:rFonts w:cs="Arial"/>
                <w:szCs w:val="18"/>
              </w:rPr>
              <w:t>[DIN 51350-5:2015], mm</w:t>
            </w:r>
          </w:p>
        </w:tc>
        <w:tc>
          <w:tcPr>
            <w:tcW w:w="1303" w:type="dxa"/>
          </w:tcPr>
          <w:p w14:paraId="610EA7F9" w14:textId="450A66A1" w:rsidR="00117FF4" w:rsidRPr="00117FF4" w:rsidRDefault="007A749C" w:rsidP="00117FF4">
            <w:pPr>
              <w:pStyle w:val="CETBodytext"/>
              <w:ind w:right="-1"/>
              <w:jc w:val="left"/>
              <w:rPr>
                <w:rFonts w:cs="Arial"/>
                <w:szCs w:val="18"/>
                <w:lang w:val="en-GB"/>
              </w:rPr>
            </w:pPr>
            <w:r>
              <w:rPr>
                <w:rFonts w:cs="Arial"/>
                <w:szCs w:val="18"/>
                <w:lang w:val="en-GB"/>
              </w:rPr>
              <w:t>0.54</w:t>
            </w:r>
          </w:p>
        </w:tc>
        <w:tc>
          <w:tcPr>
            <w:tcW w:w="1304" w:type="dxa"/>
          </w:tcPr>
          <w:p w14:paraId="0A4EF824" w14:textId="351E0917" w:rsidR="00117FF4" w:rsidRPr="00117FF4" w:rsidRDefault="007A749C" w:rsidP="00117FF4">
            <w:pPr>
              <w:pStyle w:val="CETBodytext"/>
              <w:ind w:right="-1"/>
              <w:jc w:val="left"/>
              <w:rPr>
                <w:rFonts w:cs="Arial"/>
                <w:szCs w:val="18"/>
                <w:lang w:val="en-GB"/>
              </w:rPr>
            </w:pPr>
            <w:r>
              <w:rPr>
                <w:rFonts w:cs="Arial"/>
                <w:szCs w:val="18"/>
                <w:lang w:val="en-GB"/>
              </w:rPr>
              <w:t>0.52</w:t>
            </w:r>
          </w:p>
        </w:tc>
        <w:tc>
          <w:tcPr>
            <w:tcW w:w="1304" w:type="dxa"/>
          </w:tcPr>
          <w:p w14:paraId="12923A26" w14:textId="5C4F7984" w:rsidR="00117FF4" w:rsidRPr="00117FF4" w:rsidRDefault="00117FF4" w:rsidP="00117FF4">
            <w:pPr>
              <w:pStyle w:val="CETBodytext"/>
              <w:ind w:right="-1"/>
              <w:jc w:val="left"/>
              <w:rPr>
                <w:rFonts w:cs="Arial"/>
                <w:szCs w:val="18"/>
                <w:lang w:val="en-GB"/>
              </w:rPr>
            </w:pPr>
            <w:r w:rsidRPr="00117FF4">
              <w:rPr>
                <w:rFonts w:cs="Arial"/>
                <w:szCs w:val="18"/>
                <w:lang w:val="en-GB"/>
              </w:rPr>
              <w:t>0</w:t>
            </w:r>
            <w:r>
              <w:rPr>
                <w:rFonts w:cs="Arial"/>
                <w:szCs w:val="18"/>
                <w:lang w:val="en-GB"/>
              </w:rPr>
              <w:t>.</w:t>
            </w:r>
            <w:r w:rsidRPr="00117FF4">
              <w:rPr>
                <w:rFonts w:cs="Arial"/>
                <w:szCs w:val="18"/>
                <w:lang w:val="en-GB"/>
              </w:rPr>
              <w:t>88</w:t>
            </w:r>
          </w:p>
        </w:tc>
        <w:tc>
          <w:tcPr>
            <w:tcW w:w="1304" w:type="dxa"/>
          </w:tcPr>
          <w:p w14:paraId="0ECD78B5" w14:textId="7A4AFF29" w:rsidR="00117FF4" w:rsidRPr="00117FF4" w:rsidRDefault="00117FF4" w:rsidP="00117FF4">
            <w:pPr>
              <w:pStyle w:val="CETBodytext"/>
              <w:ind w:right="-1"/>
              <w:jc w:val="left"/>
              <w:rPr>
                <w:rFonts w:cs="Arial"/>
                <w:szCs w:val="18"/>
                <w:lang w:val="en-GB"/>
              </w:rPr>
            </w:pPr>
            <w:r w:rsidRPr="00117FF4">
              <w:rPr>
                <w:rFonts w:cs="Arial"/>
                <w:szCs w:val="18"/>
                <w:lang w:val="en-GB"/>
              </w:rPr>
              <w:t>0</w:t>
            </w:r>
            <w:r>
              <w:rPr>
                <w:rFonts w:cs="Arial"/>
                <w:szCs w:val="18"/>
                <w:lang w:val="en-GB"/>
              </w:rPr>
              <w:t>.</w:t>
            </w:r>
            <w:r w:rsidR="008A6EDC">
              <w:rPr>
                <w:rFonts w:cs="Arial"/>
                <w:szCs w:val="18"/>
                <w:lang w:val="en-GB"/>
              </w:rPr>
              <w:t>4</w:t>
            </w:r>
            <w:r w:rsidR="006D1895">
              <w:rPr>
                <w:rFonts w:cs="Arial"/>
                <w:szCs w:val="18"/>
                <w:lang w:val="en-GB"/>
              </w:rPr>
              <w:t>9</w:t>
            </w:r>
          </w:p>
        </w:tc>
        <w:tc>
          <w:tcPr>
            <w:tcW w:w="1304" w:type="dxa"/>
          </w:tcPr>
          <w:p w14:paraId="7B9C745E" w14:textId="45669566" w:rsidR="00117FF4" w:rsidRPr="00117FF4" w:rsidRDefault="00667284" w:rsidP="00117FF4">
            <w:pPr>
              <w:pStyle w:val="CETBodytext"/>
              <w:ind w:right="-1"/>
              <w:jc w:val="left"/>
              <w:rPr>
                <w:rFonts w:cs="Arial"/>
                <w:szCs w:val="18"/>
                <w:lang w:val="en-GB"/>
              </w:rPr>
            </w:pPr>
            <w:r>
              <w:rPr>
                <w:rFonts w:cs="Arial"/>
                <w:szCs w:val="18"/>
                <w:lang w:val="en-GB"/>
              </w:rPr>
              <w:t>0.</w:t>
            </w:r>
            <w:r w:rsidR="008A6EDC">
              <w:rPr>
                <w:rFonts w:cs="Arial"/>
                <w:szCs w:val="18"/>
                <w:lang w:val="en-GB"/>
              </w:rPr>
              <w:t>56</w:t>
            </w:r>
          </w:p>
        </w:tc>
      </w:tr>
    </w:tbl>
    <w:p w14:paraId="068E3682" w14:textId="76325E82" w:rsidR="00695175" w:rsidRDefault="00695175" w:rsidP="00EB510E">
      <w:pPr>
        <w:pStyle w:val="CETBodytext"/>
        <w:spacing w:before="120" w:after="60"/>
      </w:pPr>
    </w:p>
    <w:p w14:paraId="05608915" w14:textId="2107093C" w:rsidR="00E15238" w:rsidRDefault="00E15238" w:rsidP="00EB510E">
      <w:pPr>
        <w:pStyle w:val="CETBodytext"/>
        <w:spacing w:before="120" w:after="60"/>
      </w:pPr>
      <w:r w:rsidRPr="00E15238">
        <w:t xml:space="preserve">Additives </w:t>
      </w:r>
      <w:r w:rsidR="00D04B52">
        <w:t>labelled</w:t>
      </w:r>
      <w:r w:rsidRPr="00E15238">
        <w:t xml:space="preserve"> additive-3, additive-4 and additive-5 had a clear appearance, so they correspond to the aspects stated in the objective. The kinematic viscosity value of additive-3, additive-4 and additive-5 at 40°C and 100°C is significantly lower than that of additive-1 and additive-2.</w:t>
      </w:r>
    </w:p>
    <w:p w14:paraId="2F561B80" w14:textId="18CDDDA4" w:rsidR="00EB510E" w:rsidRDefault="00EB510E" w:rsidP="00EB510E">
      <w:pPr>
        <w:pStyle w:val="CETBodytext"/>
        <w:spacing w:before="120" w:after="60"/>
      </w:pPr>
      <w:r>
        <w:t xml:space="preserve">To measure the functional effect of the synthesized additives, lubricating oil samples were made with the use of Group I type base oil with 3 wt% additive content. </w:t>
      </w:r>
      <w:r w:rsidR="008215AA">
        <w:t xml:space="preserve">The results of the four-ball weld load measurements </w:t>
      </w:r>
      <w:r w:rsidR="00E24C5E">
        <w:t>are</w:t>
      </w:r>
      <w:r w:rsidR="008215AA">
        <w:t xml:space="preserve"> indicated </w:t>
      </w:r>
      <w:r w:rsidR="000134DE">
        <w:t>in</w:t>
      </w:r>
      <w:r w:rsidR="008215AA">
        <w:t xml:space="preserve"> Figure 2.</w:t>
      </w:r>
    </w:p>
    <w:p w14:paraId="155B8628" w14:textId="4CB3A297" w:rsidR="001F3A73" w:rsidRPr="001F3A73" w:rsidRDefault="00737082" w:rsidP="001F3A73">
      <w:pPr>
        <w:tabs>
          <w:tab w:val="clear" w:pos="7100"/>
        </w:tabs>
        <w:spacing w:before="240" w:after="240"/>
        <w:rPr>
          <w:i/>
        </w:rPr>
      </w:pPr>
      <w:r>
        <w:rPr>
          <w:noProof/>
        </w:rPr>
        <w:drawing>
          <wp:inline distT="0" distB="0" distL="0" distR="0" wp14:anchorId="2271524D" wp14:editId="0FACBF26">
            <wp:extent cx="5490000" cy="2221200"/>
            <wp:effectExtent l="0" t="0" r="15875" b="8255"/>
            <wp:docPr id="1" name="Diagram 1">
              <a:extLst xmlns:a="http://schemas.openxmlformats.org/drawingml/2006/main">
                <a:ext uri="{FF2B5EF4-FFF2-40B4-BE49-F238E27FC236}">
                  <a16:creationId xmlns:a16="http://schemas.microsoft.com/office/drawing/2014/main" id="{605726C9-F639-48BC-B9E8-6FD145EE5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3667F2" w14:textId="25CD6BEC" w:rsidR="001F3A73" w:rsidRPr="001F3A73" w:rsidRDefault="001F3A73" w:rsidP="001F3A73">
      <w:pPr>
        <w:pStyle w:val="CETCaption"/>
        <w:rPr>
          <w:rStyle w:val="CETCaptionCarattere"/>
          <w:i/>
        </w:rPr>
      </w:pPr>
      <w:r w:rsidRPr="001F3A73">
        <w:rPr>
          <w:rStyle w:val="CETCaptionCarattere"/>
          <w:i/>
        </w:rPr>
        <w:t xml:space="preserve">Figure </w:t>
      </w:r>
      <w:r>
        <w:rPr>
          <w:rStyle w:val="CETCaptionCarattere"/>
          <w:i/>
        </w:rPr>
        <w:t>2</w:t>
      </w:r>
      <w:r w:rsidRPr="001F3A73">
        <w:rPr>
          <w:rStyle w:val="CETCaptionCarattere"/>
          <w:i/>
        </w:rPr>
        <w:t xml:space="preserve">: </w:t>
      </w:r>
      <w:r>
        <w:rPr>
          <w:rStyle w:val="CETCaptionCarattere"/>
          <w:i/>
        </w:rPr>
        <w:t xml:space="preserve">The four-ball test weld load results of the </w:t>
      </w:r>
      <w:r w:rsidR="00BF55A1">
        <w:rPr>
          <w:rStyle w:val="CETCaptionCarattere"/>
          <w:i/>
        </w:rPr>
        <w:t>base oil solutions of synthesized additives</w:t>
      </w:r>
    </w:p>
    <w:p w14:paraId="6DA7E469" w14:textId="77777777" w:rsidR="00E15238" w:rsidRDefault="00534A59" w:rsidP="007829B6">
      <w:pPr>
        <w:pStyle w:val="CETBodytext"/>
        <w:spacing w:before="120" w:after="60"/>
        <w:rPr>
          <w:rStyle w:val="hwtze"/>
          <w:lang w:val="en"/>
        </w:rPr>
      </w:pPr>
      <w:r>
        <w:lastRenderedPageBreak/>
        <w:t>T</w:t>
      </w:r>
      <w:r w:rsidR="00E24C5E" w:rsidRPr="00E24C5E">
        <w:t xml:space="preserve">he worst </w:t>
      </w:r>
      <w:r w:rsidR="006428EC">
        <w:t xml:space="preserve">weld load </w:t>
      </w:r>
      <w:r w:rsidR="00E24C5E" w:rsidRPr="00E24C5E">
        <w:t>result</w:t>
      </w:r>
      <w:r w:rsidR="00697F96">
        <w:t xml:space="preserve"> (1 600 N)</w:t>
      </w:r>
      <w:r w:rsidR="00E24C5E" w:rsidRPr="00E24C5E">
        <w:t xml:space="preserve"> </w:t>
      </w:r>
      <w:r w:rsidR="00697F96">
        <w:t>was</w:t>
      </w:r>
      <w:r w:rsidR="00E24C5E" w:rsidRPr="00E24C5E">
        <w:t xml:space="preserve"> obtained in the case of </w:t>
      </w:r>
      <w:r>
        <w:t>Additive-3.</w:t>
      </w:r>
      <w:r w:rsidR="00790179">
        <w:t xml:space="preserve"> </w:t>
      </w:r>
      <w:r w:rsidR="00B6797E">
        <w:t>I</w:t>
      </w:r>
      <w:r w:rsidR="00790179">
        <w:t xml:space="preserve">n </w:t>
      </w:r>
      <w:r w:rsidR="00D95352">
        <w:t xml:space="preserve">the </w:t>
      </w:r>
      <w:r w:rsidR="00790179">
        <w:t>case of Aditive-4</w:t>
      </w:r>
      <w:r w:rsidR="00773167">
        <w:t>,</w:t>
      </w:r>
      <w:r w:rsidR="00790179">
        <w:t xml:space="preserve"> the </w:t>
      </w:r>
      <w:r w:rsidR="00474A22">
        <w:t xml:space="preserve">weld load </w:t>
      </w:r>
      <w:r w:rsidR="00D95352">
        <w:t xml:space="preserve">result </w:t>
      </w:r>
      <w:r w:rsidR="00B6797E">
        <w:t>is</w:t>
      </w:r>
      <w:r w:rsidR="00D95352">
        <w:t xml:space="preserve"> better compared to Additive-3</w:t>
      </w:r>
      <w:r w:rsidR="00474A22">
        <w:t>.</w:t>
      </w:r>
      <w:r w:rsidR="00D95352">
        <w:t xml:space="preserve"> </w:t>
      </w:r>
      <w:r w:rsidR="00474A22">
        <w:t>The</w:t>
      </w:r>
      <w:r w:rsidR="00F323B9">
        <w:rPr>
          <w:rStyle w:val="rynqvb"/>
          <w:lang w:val="en"/>
        </w:rPr>
        <w:t xml:space="preserve"> </w:t>
      </w:r>
      <w:r w:rsidR="003F4E2D">
        <w:rPr>
          <w:rStyle w:val="rynqvb"/>
          <w:lang w:val="en"/>
        </w:rPr>
        <w:t xml:space="preserve">measured values of </w:t>
      </w:r>
      <w:r w:rsidR="00773167">
        <w:rPr>
          <w:rStyle w:val="rynqvb"/>
          <w:lang w:val="en"/>
        </w:rPr>
        <w:t xml:space="preserve">the </w:t>
      </w:r>
      <w:r w:rsidR="00474A22">
        <w:rPr>
          <w:rStyle w:val="rynqvb"/>
          <w:lang w:val="en"/>
        </w:rPr>
        <w:t xml:space="preserve">weld load of </w:t>
      </w:r>
      <w:r w:rsidR="00F323B9">
        <w:rPr>
          <w:rStyle w:val="rynqvb"/>
          <w:lang w:val="en"/>
        </w:rPr>
        <w:t>Additive-1 and Additive-2 samples are close to each other and above the requirements.</w:t>
      </w:r>
      <w:r w:rsidR="00F323B9">
        <w:rPr>
          <w:rStyle w:val="hwtze"/>
          <w:lang w:val="en"/>
        </w:rPr>
        <w:t xml:space="preserve"> </w:t>
      </w:r>
    </w:p>
    <w:p w14:paraId="16C5E632" w14:textId="36477031" w:rsidR="00805FAD" w:rsidRDefault="004817F6" w:rsidP="007829B6">
      <w:pPr>
        <w:pStyle w:val="CETBodytext"/>
        <w:spacing w:before="120" w:after="60"/>
        <w:rPr>
          <w:rStyle w:val="rynqvb"/>
          <w:lang w:val="en"/>
        </w:rPr>
      </w:pPr>
      <w:r>
        <w:rPr>
          <w:rStyle w:val="rynqvb"/>
          <w:lang w:val="en"/>
        </w:rPr>
        <w:t>The</w:t>
      </w:r>
      <w:r w:rsidR="00F323B9">
        <w:rPr>
          <w:rStyle w:val="rynqvb"/>
          <w:lang w:val="en"/>
        </w:rPr>
        <w:t xml:space="preserve"> viscosity values</w:t>
      </w:r>
      <w:r>
        <w:rPr>
          <w:rStyle w:val="rynqvb"/>
          <w:lang w:val="en"/>
        </w:rPr>
        <w:t xml:space="preserve"> of Additive-1</w:t>
      </w:r>
      <w:r w:rsidR="00F323B9">
        <w:rPr>
          <w:rStyle w:val="rynqvb"/>
          <w:lang w:val="en"/>
        </w:rPr>
        <w:t xml:space="preserve"> are more favo</w:t>
      </w:r>
      <w:r>
        <w:rPr>
          <w:rStyle w:val="rynqvb"/>
          <w:lang w:val="en"/>
        </w:rPr>
        <w:t>u</w:t>
      </w:r>
      <w:r w:rsidR="00F323B9">
        <w:rPr>
          <w:rStyle w:val="rynqvb"/>
          <w:lang w:val="en"/>
        </w:rPr>
        <w:t>rable</w:t>
      </w:r>
      <w:r>
        <w:rPr>
          <w:rStyle w:val="rynqvb"/>
          <w:lang w:val="en"/>
        </w:rPr>
        <w:t xml:space="preserve"> tha</w:t>
      </w:r>
      <w:r w:rsidR="007C1C1C">
        <w:rPr>
          <w:rStyle w:val="rynqvb"/>
          <w:lang w:val="en"/>
        </w:rPr>
        <w:t xml:space="preserve">n in the case of Additive-2 and it provides better </w:t>
      </w:r>
      <w:r w:rsidR="00F323B9">
        <w:rPr>
          <w:rStyle w:val="rynqvb"/>
          <w:lang w:val="en"/>
        </w:rPr>
        <w:t>usability.</w:t>
      </w:r>
      <w:r w:rsidR="00F323B9">
        <w:rPr>
          <w:rStyle w:val="hwtze"/>
          <w:lang w:val="en"/>
        </w:rPr>
        <w:t xml:space="preserve"> </w:t>
      </w:r>
      <w:r w:rsidR="00F323B9">
        <w:rPr>
          <w:rStyle w:val="rynqvb"/>
          <w:lang w:val="en"/>
        </w:rPr>
        <w:t xml:space="preserve">Based on their active sulfur content results, there is also no </w:t>
      </w:r>
      <w:r w:rsidR="00F66054">
        <w:rPr>
          <w:rStyle w:val="rynqvb"/>
          <w:lang w:val="en"/>
        </w:rPr>
        <w:t xml:space="preserve">significant </w:t>
      </w:r>
      <w:r w:rsidR="00F323B9">
        <w:rPr>
          <w:rStyle w:val="rynqvb"/>
          <w:lang w:val="en"/>
        </w:rPr>
        <w:t xml:space="preserve">difference between the two samples. </w:t>
      </w:r>
    </w:p>
    <w:p w14:paraId="02027C04" w14:textId="7F5263A6" w:rsidR="0019490F" w:rsidRDefault="00F323B9" w:rsidP="007829B6">
      <w:pPr>
        <w:pStyle w:val="CETBodytext"/>
        <w:spacing w:before="120" w:after="60"/>
      </w:pPr>
      <w:r>
        <w:rPr>
          <w:rStyle w:val="rynqvb"/>
          <w:lang w:val="en"/>
        </w:rPr>
        <w:t xml:space="preserve">The best </w:t>
      </w:r>
      <w:r w:rsidR="00F66054">
        <w:rPr>
          <w:rStyle w:val="rynqvb"/>
          <w:lang w:val="en"/>
        </w:rPr>
        <w:t>weld</w:t>
      </w:r>
      <w:r>
        <w:rPr>
          <w:rStyle w:val="rynqvb"/>
          <w:lang w:val="en"/>
        </w:rPr>
        <w:t xml:space="preserve"> load result </w:t>
      </w:r>
      <w:r w:rsidR="003E1CC2">
        <w:rPr>
          <w:rStyle w:val="rynqvb"/>
          <w:lang w:val="en"/>
        </w:rPr>
        <w:t xml:space="preserve">(2 400 N) </w:t>
      </w:r>
      <w:r>
        <w:rPr>
          <w:rStyle w:val="rynqvb"/>
          <w:lang w:val="en"/>
        </w:rPr>
        <w:t xml:space="preserve">was achieved with </w:t>
      </w:r>
      <w:r w:rsidR="00FE305F">
        <w:rPr>
          <w:rStyle w:val="rynqvb"/>
          <w:lang w:val="en"/>
        </w:rPr>
        <w:t xml:space="preserve">the </w:t>
      </w:r>
      <w:r w:rsidR="00F66054">
        <w:rPr>
          <w:rStyle w:val="rynqvb"/>
          <w:lang w:val="en"/>
        </w:rPr>
        <w:t>Additive-5</w:t>
      </w:r>
      <w:r>
        <w:rPr>
          <w:rStyle w:val="rynqvb"/>
          <w:lang w:val="en"/>
        </w:rPr>
        <w:t xml:space="preserve"> sample.</w:t>
      </w:r>
      <w:r>
        <w:rPr>
          <w:rStyle w:val="hwtze"/>
          <w:lang w:val="en"/>
        </w:rPr>
        <w:t xml:space="preserve"> </w:t>
      </w:r>
      <w:r>
        <w:rPr>
          <w:rStyle w:val="rynqvb"/>
          <w:lang w:val="en"/>
        </w:rPr>
        <w:t xml:space="preserve">All </w:t>
      </w:r>
      <w:r w:rsidR="00C167FF">
        <w:rPr>
          <w:rStyle w:val="rynqvb"/>
          <w:lang w:val="en"/>
        </w:rPr>
        <w:t>of this</w:t>
      </w:r>
      <w:r w:rsidR="00992504">
        <w:rPr>
          <w:rStyle w:val="rynqvb"/>
          <w:lang w:val="en"/>
        </w:rPr>
        <w:t xml:space="preserve"> is</w:t>
      </w:r>
      <w:r>
        <w:rPr>
          <w:rStyle w:val="rynqvb"/>
          <w:lang w:val="en"/>
        </w:rPr>
        <w:t xml:space="preserve"> a consequence of </w:t>
      </w:r>
      <w:r w:rsidR="00DF65ED">
        <w:rPr>
          <w:rStyle w:val="rynqvb"/>
          <w:lang w:val="en"/>
        </w:rPr>
        <w:t>its</w:t>
      </w:r>
      <w:r>
        <w:rPr>
          <w:rStyle w:val="rynqvb"/>
          <w:lang w:val="en"/>
        </w:rPr>
        <w:t xml:space="preserve"> </w:t>
      </w:r>
      <w:r w:rsidR="00DF65ED">
        <w:rPr>
          <w:rStyle w:val="rynqvb"/>
          <w:lang w:val="en"/>
        </w:rPr>
        <w:t xml:space="preserve">relatively </w:t>
      </w:r>
      <w:r>
        <w:rPr>
          <w:rStyle w:val="rynqvb"/>
          <w:lang w:val="en"/>
        </w:rPr>
        <w:t>high active sulfur content (6.99 wt%).</w:t>
      </w:r>
      <w:r>
        <w:rPr>
          <w:rStyle w:val="hwtze"/>
          <w:lang w:val="en"/>
        </w:rPr>
        <w:t xml:space="preserve"> </w:t>
      </w:r>
      <w:r>
        <w:rPr>
          <w:rStyle w:val="rynqvb"/>
          <w:lang w:val="en"/>
        </w:rPr>
        <w:t xml:space="preserve">In the case of structural materials and workpieces containing copper, </w:t>
      </w:r>
      <w:r w:rsidR="003E1CC2">
        <w:rPr>
          <w:rStyle w:val="rynqvb"/>
          <w:lang w:val="en"/>
        </w:rPr>
        <w:t xml:space="preserve">active sulfur content </w:t>
      </w:r>
      <w:r>
        <w:rPr>
          <w:rStyle w:val="rynqvb"/>
          <w:lang w:val="en"/>
        </w:rPr>
        <w:t xml:space="preserve">must be </w:t>
      </w:r>
      <w:proofErr w:type="gramStart"/>
      <w:r>
        <w:rPr>
          <w:rStyle w:val="rynqvb"/>
          <w:lang w:val="en"/>
        </w:rPr>
        <w:t>taken into account</w:t>
      </w:r>
      <w:proofErr w:type="gramEnd"/>
      <w:r>
        <w:rPr>
          <w:rStyle w:val="rynqvb"/>
          <w:lang w:val="en"/>
        </w:rPr>
        <w:t xml:space="preserve"> when formulating the </w:t>
      </w:r>
      <w:r w:rsidRPr="007829B6">
        <w:t>lubricant.</w:t>
      </w:r>
    </w:p>
    <w:p w14:paraId="734D80C8" w14:textId="77777777" w:rsidR="00805FAD" w:rsidRDefault="00805FAD" w:rsidP="007829B6">
      <w:pPr>
        <w:pStyle w:val="CETBodytext"/>
        <w:spacing w:before="120" w:after="60"/>
      </w:pPr>
    </w:p>
    <w:p w14:paraId="25A9DC31" w14:textId="40A92F31" w:rsidR="00844CD9" w:rsidRPr="007829B6" w:rsidRDefault="00844CD9" w:rsidP="00844CD9">
      <w:pPr>
        <w:pStyle w:val="CETBodytext"/>
        <w:spacing w:after="60"/>
      </w:pPr>
      <w:r>
        <w:t>The results of the four-ball scar diameter measurements are indicated in Figure 3.</w:t>
      </w:r>
    </w:p>
    <w:p w14:paraId="406C9DDF" w14:textId="583C1630" w:rsidR="000D255E" w:rsidRDefault="000D255E" w:rsidP="007829B6">
      <w:pPr>
        <w:pStyle w:val="CETBodytext"/>
        <w:spacing w:before="240" w:after="240"/>
        <w:rPr>
          <w:rStyle w:val="rynqvb"/>
          <w:lang w:val="en"/>
        </w:rPr>
      </w:pPr>
      <w:r>
        <w:rPr>
          <w:noProof/>
        </w:rPr>
        <w:drawing>
          <wp:inline distT="0" distB="0" distL="0" distR="0" wp14:anchorId="142C0C47" wp14:editId="1FE08CAD">
            <wp:extent cx="5490000" cy="2221200"/>
            <wp:effectExtent l="0" t="0" r="15875" b="8255"/>
            <wp:docPr id="2" name="Diagram 2">
              <a:extLst xmlns:a="http://schemas.openxmlformats.org/drawingml/2006/main">
                <a:ext uri="{FF2B5EF4-FFF2-40B4-BE49-F238E27FC236}">
                  <a16:creationId xmlns:a16="http://schemas.microsoft.com/office/drawing/2014/main" id="{744AAF86-966B-45B5-9D62-98D2C5E17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A0838B" w14:textId="4CDA49B0" w:rsidR="006428EC" w:rsidRPr="001F3A73" w:rsidRDefault="006428EC" w:rsidP="006428EC">
      <w:pPr>
        <w:pStyle w:val="CETCaption"/>
        <w:rPr>
          <w:rStyle w:val="CETCaptionCarattere"/>
          <w:i/>
        </w:rPr>
      </w:pPr>
      <w:r w:rsidRPr="001F3A73">
        <w:rPr>
          <w:rStyle w:val="CETCaptionCarattere"/>
          <w:i/>
        </w:rPr>
        <w:t xml:space="preserve">Figure </w:t>
      </w:r>
      <w:r>
        <w:rPr>
          <w:rStyle w:val="CETCaptionCarattere"/>
          <w:i/>
        </w:rPr>
        <w:t>3</w:t>
      </w:r>
      <w:r w:rsidRPr="001F3A73">
        <w:rPr>
          <w:rStyle w:val="CETCaptionCarattere"/>
          <w:i/>
        </w:rPr>
        <w:t xml:space="preserve">: </w:t>
      </w:r>
      <w:r>
        <w:rPr>
          <w:rStyle w:val="CETCaptionCarattere"/>
          <w:i/>
        </w:rPr>
        <w:t xml:space="preserve">The four-ball test </w:t>
      </w:r>
      <w:r w:rsidR="00844CD9">
        <w:rPr>
          <w:rStyle w:val="CETCaptionCarattere"/>
          <w:i/>
        </w:rPr>
        <w:t>scar diameter</w:t>
      </w:r>
      <w:r>
        <w:rPr>
          <w:rStyle w:val="CETCaptionCarattere"/>
          <w:i/>
        </w:rPr>
        <w:t xml:space="preserve"> results of the base oil solutions of synthesized additives</w:t>
      </w:r>
    </w:p>
    <w:p w14:paraId="39C2F863" w14:textId="46F33B2D" w:rsidR="008D1EEF" w:rsidRDefault="00F96FE2" w:rsidP="006428EC">
      <w:pPr>
        <w:pStyle w:val="CETBodytext"/>
        <w:spacing w:before="120" w:after="60"/>
      </w:pPr>
      <w:r>
        <w:t>I</w:t>
      </w:r>
      <w:r w:rsidRPr="00F96FE2">
        <w:t xml:space="preserve">n addition to the worst </w:t>
      </w:r>
      <w:r>
        <w:t>weld load</w:t>
      </w:r>
      <w:r w:rsidRPr="00F96FE2">
        <w:t xml:space="preserve"> result, the worst wear </w:t>
      </w:r>
      <w:r>
        <w:t xml:space="preserve">scar diameter </w:t>
      </w:r>
      <w:r w:rsidRPr="00F96FE2">
        <w:t xml:space="preserve">result </w:t>
      </w:r>
      <w:r w:rsidR="00F03845">
        <w:t xml:space="preserve">(0.88 mm) </w:t>
      </w:r>
      <w:r w:rsidRPr="00F96FE2">
        <w:t xml:space="preserve">also occurred in the case of </w:t>
      </w:r>
      <w:r w:rsidR="00EF283E">
        <w:t>Additive-</w:t>
      </w:r>
      <w:r>
        <w:t xml:space="preserve">3. </w:t>
      </w:r>
      <w:r w:rsidR="00B71A97">
        <w:t>I</w:t>
      </w:r>
      <w:r w:rsidR="009366D3" w:rsidRPr="009366D3">
        <w:t>n the case of Aditive-</w:t>
      </w:r>
      <w:r w:rsidR="00B71A97">
        <w:t>5</w:t>
      </w:r>
      <w:r w:rsidR="00E02E6E">
        <w:t>,</w:t>
      </w:r>
      <w:r w:rsidR="009366D3" w:rsidRPr="009366D3">
        <w:t xml:space="preserve"> the result </w:t>
      </w:r>
      <w:r w:rsidR="00B71A97">
        <w:t>is</w:t>
      </w:r>
      <w:r w:rsidR="00D336CC">
        <w:t xml:space="preserve"> </w:t>
      </w:r>
      <w:r w:rsidR="009366D3" w:rsidRPr="009366D3">
        <w:t xml:space="preserve">better </w:t>
      </w:r>
      <w:r w:rsidR="00356E2D">
        <w:t xml:space="preserve">to a great extent </w:t>
      </w:r>
      <w:r w:rsidR="009366D3" w:rsidRPr="009366D3">
        <w:t>compared to Additive-3</w:t>
      </w:r>
      <w:r w:rsidR="00E02E6E">
        <w:t xml:space="preserve">. </w:t>
      </w:r>
      <w:r w:rsidR="009366D3" w:rsidRPr="009366D3">
        <w:t xml:space="preserve">In the case of Additive-1 and Additive-2 samples, the </w:t>
      </w:r>
      <w:r w:rsidR="00F24B0E">
        <w:t xml:space="preserve">wear scar diameter </w:t>
      </w:r>
      <w:r w:rsidR="009366D3" w:rsidRPr="009366D3">
        <w:t xml:space="preserve">values are </w:t>
      </w:r>
      <w:r w:rsidR="00E02E6E">
        <w:t xml:space="preserve">also </w:t>
      </w:r>
      <w:r w:rsidR="009366D3" w:rsidRPr="009366D3">
        <w:t xml:space="preserve">close to each other </w:t>
      </w:r>
      <w:r w:rsidR="00DA2E93">
        <w:t>as in the case of weld load results of th</w:t>
      </w:r>
      <w:r w:rsidR="00A041BE">
        <w:t>em</w:t>
      </w:r>
      <w:r w:rsidR="00DA2E93">
        <w:t xml:space="preserve">. </w:t>
      </w:r>
      <w:r w:rsidR="009366D3" w:rsidRPr="009366D3">
        <w:t xml:space="preserve">The </w:t>
      </w:r>
      <w:r w:rsidR="001E2237">
        <w:t>lowest</w:t>
      </w:r>
      <w:r w:rsidR="00773290">
        <w:t xml:space="preserve"> wear</w:t>
      </w:r>
      <w:r w:rsidR="001E2237">
        <w:t xml:space="preserve"> </w:t>
      </w:r>
      <w:r w:rsidR="00773290">
        <w:t xml:space="preserve">scar diameter </w:t>
      </w:r>
      <w:r w:rsidR="009366D3" w:rsidRPr="009366D3">
        <w:t>result (</w:t>
      </w:r>
      <w:r w:rsidR="00F24B0E">
        <w:t>0.49 mm</w:t>
      </w:r>
      <w:r w:rsidR="009366D3" w:rsidRPr="009366D3">
        <w:t>) was achieved with the Additive-</w:t>
      </w:r>
      <w:r w:rsidR="00F24B0E">
        <w:t>4</w:t>
      </w:r>
      <w:r w:rsidR="009366D3" w:rsidRPr="009366D3">
        <w:t xml:space="preserve"> sample. </w:t>
      </w:r>
      <w:r w:rsidR="00F24B0E">
        <w:t>Its weld load</w:t>
      </w:r>
      <w:r w:rsidR="009366D3" w:rsidRPr="009366D3">
        <w:t xml:space="preserve"> result (</w:t>
      </w:r>
      <w:r w:rsidR="00F24B0E">
        <w:t xml:space="preserve">2 000 N) </w:t>
      </w:r>
      <w:r w:rsidR="009366D3" w:rsidRPr="009366D3">
        <w:t xml:space="preserve">is also </w:t>
      </w:r>
      <w:r w:rsidR="00ED463C">
        <w:t>appropriate to the objective</w:t>
      </w:r>
      <w:r w:rsidR="009366D3" w:rsidRPr="009366D3">
        <w:t>.</w:t>
      </w:r>
    </w:p>
    <w:p w14:paraId="715A669D" w14:textId="0F557F49" w:rsidR="00E15238" w:rsidRDefault="00E15238" w:rsidP="00E15238">
      <w:pPr>
        <w:pStyle w:val="CETBodytext"/>
        <w:spacing w:before="120" w:after="60"/>
      </w:pPr>
      <w:r>
        <w:t>I</w:t>
      </w:r>
      <w:r w:rsidRPr="00F96FE2">
        <w:t>n addition to</w:t>
      </w:r>
      <w:r w:rsidRPr="00DC070F">
        <w:t xml:space="preserve"> </w:t>
      </w:r>
      <w:r>
        <w:t>the a</w:t>
      </w:r>
      <w:r w:rsidRPr="00DC070F">
        <w:t>dditives with a lower viscosity can be advantageously used in industry, as they dissolve more easily in oil and are easier to handle.</w:t>
      </w:r>
      <w:r>
        <w:t xml:space="preserve"> </w:t>
      </w:r>
      <w:r w:rsidRPr="00E15238">
        <w:t xml:space="preserve">Additives </w:t>
      </w:r>
      <w:r w:rsidR="00B02CC0">
        <w:t>labelled</w:t>
      </w:r>
      <w:r w:rsidRPr="00E15238">
        <w:t xml:space="preserve"> additive-3, additive-4 and additive-5 had a clear appearance</w:t>
      </w:r>
      <w:r>
        <w:t>.</w:t>
      </w:r>
    </w:p>
    <w:p w14:paraId="68D26B83" w14:textId="77777777" w:rsidR="00600535" w:rsidRPr="00B57B36" w:rsidRDefault="00600535" w:rsidP="00600535">
      <w:pPr>
        <w:pStyle w:val="CETHeading1"/>
        <w:rPr>
          <w:lang w:val="en-GB"/>
        </w:rPr>
      </w:pPr>
      <w:r w:rsidRPr="00B57B36">
        <w:rPr>
          <w:lang w:val="en-GB"/>
        </w:rPr>
        <w:t>Conclusions</w:t>
      </w:r>
    </w:p>
    <w:p w14:paraId="058B17FF" w14:textId="1AE7BB9A" w:rsidR="00695175" w:rsidRDefault="00695175" w:rsidP="002E333C">
      <w:pPr>
        <w:pStyle w:val="CETBodytext"/>
        <w:rPr>
          <w:lang w:val="en-GB"/>
        </w:rPr>
      </w:pPr>
      <w:r w:rsidRPr="00695175">
        <w:rPr>
          <w:lang w:val="en-GB"/>
        </w:rPr>
        <w:t xml:space="preserve">EP additives, also known as anti-seize additives, are additives found in lubricants whose purpose is to reduce wear and prevent seizing at high temperatures and pressures. In terms of their mechanism of action, they create a film on the surface by chemisorption, with which they can prevent contact </w:t>
      </w:r>
      <w:r w:rsidR="0018412C">
        <w:rPr>
          <w:lang w:val="en-GB"/>
        </w:rPr>
        <w:t>with</w:t>
      </w:r>
      <w:r w:rsidRPr="00695175">
        <w:rPr>
          <w:lang w:val="en-GB"/>
        </w:rPr>
        <w:t xml:space="preserve"> metal structural materials. Its share of the 4.5 million tons of additives used in the world is 7%. It is used in the largest quantities in the automotive industry and in metalworking auxiliary materials.</w:t>
      </w:r>
    </w:p>
    <w:p w14:paraId="19CFE057" w14:textId="61C6E8FE" w:rsidR="002E333C" w:rsidRPr="002E333C" w:rsidRDefault="002E333C" w:rsidP="002E333C">
      <w:pPr>
        <w:pStyle w:val="CETBodytext"/>
        <w:rPr>
          <w:lang w:val="en-GB"/>
        </w:rPr>
      </w:pPr>
      <w:r w:rsidRPr="002E333C">
        <w:rPr>
          <w:lang w:val="en-GB"/>
        </w:rPr>
        <w:t>Based on the information available in the literature,</w:t>
      </w:r>
      <w:r w:rsidR="00E50E58">
        <w:rPr>
          <w:lang w:val="en-GB"/>
        </w:rPr>
        <w:t xml:space="preserve"> </w:t>
      </w:r>
      <w:r w:rsidRPr="002E333C">
        <w:rPr>
          <w:lang w:val="en-GB"/>
        </w:rPr>
        <w:t xml:space="preserve">the range of sulfur donors </w:t>
      </w:r>
      <w:r w:rsidR="00B02CC0">
        <w:rPr>
          <w:lang w:val="en-GB"/>
        </w:rPr>
        <w:t>most suitable for producing</w:t>
      </w:r>
      <w:r w:rsidRPr="002E333C">
        <w:rPr>
          <w:lang w:val="en-GB"/>
        </w:rPr>
        <w:t xml:space="preserve"> sulfur</w:t>
      </w:r>
      <w:r w:rsidR="002F63E5">
        <w:rPr>
          <w:lang w:val="en-GB"/>
        </w:rPr>
        <w:t>ized</w:t>
      </w:r>
      <w:r w:rsidRPr="002E333C">
        <w:rPr>
          <w:lang w:val="en-GB"/>
        </w:rPr>
        <w:t xml:space="preserve"> vegetable oil-based EP additives</w:t>
      </w:r>
      <w:r w:rsidR="00E50E58">
        <w:rPr>
          <w:lang w:val="en-GB"/>
        </w:rPr>
        <w:t xml:space="preserve"> </w:t>
      </w:r>
      <w:r w:rsidR="00CB0EC4">
        <w:rPr>
          <w:lang w:val="en-GB"/>
        </w:rPr>
        <w:t>was</w:t>
      </w:r>
      <w:r w:rsidR="00E50E58">
        <w:rPr>
          <w:lang w:val="en-GB"/>
        </w:rPr>
        <w:t xml:space="preserve"> examined</w:t>
      </w:r>
      <w:r w:rsidR="003654BF">
        <w:rPr>
          <w:lang w:val="en-GB"/>
        </w:rPr>
        <w:t>,</w:t>
      </w:r>
      <w:r w:rsidRPr="002E333C">
        <w:rPr>
          <w:lang w:val="en-GB"/>
        </w:rPr>
        <w:t xml:space="preserve"> based on the published results.</w:t>
      </w:r>
    </w:p>
    <w:p w14:paraId="770BF011" w14:textId="502F4716" w:rsidR="001219A6" w:rsidRDefault="008A6EDC" w:rsidP="002E333C">
      <w:pPr>
        <w:pStyle w:val="CETBodytext"/>
        <w:rPr>
          <w:lang w:val="en-GB"/>
        </w:rPr>
      </w:pPr>
      <w:r w:rsidRPr="008A6EDC">
        <w:rPr>
          <w:lang w:val="en-GB"/>
        </w:rPr>
        <w:t>Based on our tribological tests (</w:t>
      </w:r>
      <w:r w:rsidR="001219A6">
        <w:rPr>
          <w:lang w:val="en-GB"/>
        </w:rPr>
        <w:t>Four</w:t>
      </w:r>
      <w:r w:rsidR="00072CED">
        <w:rPr>
          <w:lang w:val="en-GB"/>
        </w:rPr>
        <w:t>-</w:t>
      </w:r>
      <w:r w:rsidR="001219A6">
        <w:rPr>
          <w:lang w:val="en-GB"/>
        </w:rPr>
        <w:t>ball test, weld load and scar diameter</w:t>
      </w:r>
      <w:r w:rsidRPr="008A6EDC">
        <w:rPr>
          <w:lang w:val="en-GB"/>
        </w:rPr>
        <w:t xml:space="preserve">), </w:t>
      </w:r>
      <w:r w:rsidR="00705EAF">
        <w:rPr>
          <w:lang w:val="en-GB"/>
        </w:rPr>
        <w:t>A</w:t>
      </w:r>
      <w:r w:rsidRPr="008A6EDC">
        <w:rPr>
          <w:lang w:val="en-GB"/>
        </w:rPr>
        <w:t xml:space="preserve">dditive-4 </w:t>
      </w:r>
      <w:r w:rsidR="00705EAF">
        <w:rPr>
          <w:lang w:val="en-GB"/>
        </w:rPr>
        <w:t xml:space="preserve">was found </w:t>
      </w:r>
      <w:r w:rsidRPr="008A6EDC">
        <w:rPr>
          <w:lang w:val="en-GB"/>
        </w:rPr>
        <w:t xml:space="preserve">to be the best. During </w:t>
      </w:r>
      <w:r w:rsidR="00705EAF">
        <w:rPr>
          <w:lang w:val="en-GB"/>
        </w:rPr>
        <w:t>the</w:t>
      </w:r>
      <w:r w:rsidRPr="008A6EDC">
        <w:rPr>
          <w:lang w:val="en-GB"/>
        </w:rPr>
        <w:t xml:space="preserve"> tests, </w:t>
      </w:r>
      <w:r w:rsidR="00030270">
        <w:rPr>
          <w:lang w:val="en-GB"/>
        </w:rPr>
        <w:t xml:space="preserve">the fact was </w:t>
      </w:r>
      <w:proofErr w:type="gramStart"/>
      <w:r w:rsidR="00030270">
        <w:rPr>
          <w:lang w:val="en-GB"/>
        </w:rPr>
        <w:t xml:space="preserve">taken </w:t>
      </w:r>
      <w:r w:rsidRPr="008A6EDC">
        <w:rPr>
          <w:lang w:val="en-GB"/>
        </w:rPr>
        <w:t>into account</w:t>
      </w:r>
      <w:proofErr w:type="gramEnd"/>
      <w:r w:rsidRPr="008A6EDC">
        <w:rPr>
          <w:lang w:val="en-GB"/>
        </w:rPr>
        <w:t xml:space="preserve"> that </w:t>
      </w:r>
      <w:r w:rsidR="00705EAF">
        <w:rPr>
          <w:lang w:val="en-GB"/>
        </w:rPr>
        <w:t>A</w:t>
      </w:r>
      <w:r w:rsidRPr="008A6EDC">
        <w:rPr>
          <w:lang w:val="en-GB"/>
        </w:rPr>
        <w:t>dditive-4 has a clear appearance, as stated in the objective.</w:t>
      </w:r>
    </w:p>
    <w:p w14:paraId="52DAFDE0" w14:textId="0B4D2EEC" w:rsidR="001D0CFB" w:rsidRDefault="002E333C" w:rsidP="002E333C">
      <w:pPr>
        <w:pStyle w:val="CETBodytext"/>
        <w:rPr>
          <w:lang w:val="en-GB"/>
        </w:rPr>
      </w:pPr>
      <w:r w:rsidRPr="002E333C">
        <w:rPr>
          <w:lang w:val="en-GB"/>
        </w:rPr>
        <w:t xml:space="preserve">Based on the comparison of the results and </w:t>
      </w:r>
      <w:proofErr w:type="gramStart"/>
      <w:r w:rsidRPr="002E333C">
        <w:rPr>
          <w:lang w:val="en-GB"/>
        </w:rPr>
        <w:t>taking into account</w:t>
      </w:r>
      <w:proofErr w:type="gramEnd"/>
      <w:r w:rsidRPr="002E333C">
        <w:rPr>
          <w:lang w:val="en-GB"/>
        </w:rPr>
        <w:t xml:space="preserve"> the economics and availability conditions, </w:t>
      </w:r>
      <w:r w:rsidR="003654BF">
        <w:rPr>
          <w:lang w:val="en-GB"/>
        </w:rPr>
        <w:t xml:space="preserve">it is </w:t>
      </w:r>
      <w:r w:rsidR="00744747">
        <w:rPr>
          <w:lang w:val="en-GB"/>
        </w:rPr>
        <w:t xml:space="preserve">the most </w:t>
      </w:r>
      <w:r w:rsidR="00CE5C31">
        <w:rPr>
          <w:lang w:val="en-GB"/>
        </w:rPr>
        <w:t xml:space="preserve">preferable to </w:t>
      </w:r>
      <w:r w:rsidRPr="002E333C">
        <w:rPr>
          <w:lang w:val="en-GB"/>
        </w:rPr>
        <w:t>use rapeseed oil and tert-alkyl-t</w:t>
      </w:r>
      <w:r>
        <w:rPr>
          <w:lang w:val="en-GB"/>
        </w:rPr>
        <w:t>h</w:t>
      </w:r>
      <w:r w:rsidRPr="002E333C">
        <w:rPr>
          <w:lang w:val="en-GB"/>
        </w:rPr>
        <w:t>iol, for the synthesis of EP additive samples in the next experimental phase of the research.</w:t>
      </w:r>
    </w:p>
    <w:p w14:paraId="4897EBB2" w14:textId="7520D2ED" w:rsidR="00DC070F" w:rsidRDefault="00DC070F" w:rsidP="00DC070F">
      <w:pPr>
        <w:pStyle w:val="CETBodytext"/>
        <w:spacing w:after="60"/>
      </w:pPr>
      <w:r>
        <w:t>I</w:t>
      </w:r>
      <w:r w:rsidRPr="00F96FE2">
        <w:t>n addition</w:t>
      </w:r>
      <w:r w:rsidR="00A62C20">
        <w:t>,</w:t>
      </w:r>
      <w:r w:rsidRPr="00DC070F">
        <w:t xml:space="preserve"> </w:t>
      </w:r>
      <w:r>
        <w:t>a</w:t>
      </w:r>
      <w:r w:rsidRPr="00DC070F">
        <w:t>dditives with a lower viscosity can be advantageously used in industry, as they dissolve more easily in oil and are easier to handle.</w:t>
      </w:r>
    </w:p>
    <w:p w14:paraId="0748CE9A" w14:textId="0F2AB135" w:rsidR="00414051" w:rsidRPr="00414051" w:rsidRDefault="00414051" w:rsidP="00CE6A06">
      <w:pPr>
        <w:pStyle w:val="CETBodytext"/>
        <w:rPr>
          <w:lang w:val="en-GB"/>
        </w:rPr>
      </w:pPr>
    </w:p>
    <w:p w14:paraId="7CB415CD" w14:textId="77777777" w:rsidR="00414051" w:rsidRPr="00414051" w:rsidRDefault="00414051" w:rsidP="00CE6A06">
      <w:pPr>
        <w:pStyle w:val="CETBodytext"/>
        <w:rPr>
          <w:lang w:val="en-GB"/>
        </w:rPr>
      </w:pPr>
      <w:r w:rsidRPr="00414051">
        <w:rPr>
          <w:lang w:val="en-GB"/>
        </w:rPr>
        <w:t>In industrial settings, where high-pressure and high-load conditions are prevalent, the EP/AW additives derived from sulfurized vegetable oil offer exceptional lubrication performance. They effectively reduce friction and wear. This not only enhances the efficiency and reliability of machinery but also extends its operational lifespan, resulting in significant cost savings for industrial operators.</w:t>
      </w:r>
    </w:p>
    <w:p w14:paraId="23B56451" w14:textId="77777777" w:rsidR="00414051" w:rsidRPr="00414051" w:rsidRDefault="00414051" w:rsidP="00CE6A06">
      <w:pPr>
        <w:pStyle w:val="CETBodytext"/>
        <w:rPr>
          <w:lang w:val="en-GB"/>
        </w:rPr>
      </w:pPr>
      <w:r w:rsidRPr="00414051">
        <w:rPr>
          <w:lang w:val="en-GB"/>
        </w:rPr>
        <w:t>The use of these additives aligns with the growing demand for environmentally friendly and sustainable solutions in the industrial sector. Sulfurized vegetable oil is derived from renewable sources, making it a more environmentally conscious alternative to traditional additives derived from petroleum-based compounds. This aligns with the sustainability goals of many industries, including the push towards reduced carbon emissions and minimized environmental impact.</w:t>
      </w:r>
    </w:p>
    <w:p w14:paraId="73DCE7C3" w14:textId="4A008FAE" w:rsidR="00414051" w:rsidRDefault="00414051" w:rsidP="00CE6A06">
      <w:pPr>
        <w:pStyle w:val="CETBodytext"/>
        <w:rPr>
          <w:lang w:val="en-GB"/>
        </w:rPr>
      </w:pPr>
      <w:r w:rsidRPr="00414051">
        <w:rPr>
          <w:lang w:val="en-GB"/>
        </w:rPr>
        <w:t>The unique composition of sulfurized vegetable oil EP/AW additives offers compatibility with a wide range of base oils, including mineral oils, synthetic oils, and even bio-based lubricants. This versatility allows for their seamless integration into existing lubricant formulations, providing enhanced performance without the need for significant changes or adjustments to established industrial processes.</w:t>
      </w:r>
    </w:p>
    <w:p w14:paraId="1294DDCE" w14:textId="3783ED80" w:rsidR="00414051" w:rsidRDefault="00414051" w:rsidP="00414051">
      <w:pPr>
        <w:pStyle w:val="CETBodytext"/>
        <w:rPr>
          <w:lang w:val="en-GB"/>
        </w:rPr>
      </w:pPr>
    </w:p>
    <w:p w14:paraId="4F1327F8" w14:textId="77777777" w:rsidR="00600535" w:rsidRPr="00CE6A06" w:rsidRDefault="00600535" w:rsidP="00CE6A06">
      <w:pPr>
        <w:pStyle w:val="CETHeading1"/>
        <w:rPr>
          <w:lang w:val="en-GB"/>
        </w:rPr>
      </w:pPr>
      <w:r w:rsidRPr="00CE6A06">
        <w:rPr>
          <w:lang w:val="en-GB"/>
        </w:rPr>
        <w:t>References</w:t>
      </w:r>
    </w:p>
    <w:p w14:paraId="08EC5CCE" w14:textId="31B02FFF" w:rsidR="00600535" w:rsidRPr="00CE6A06" w:rsidRDefault="006B6F19" w:rsidP="00CE6A06">
      <w:pPr>
        <w:pStyle w:val="CETBodytext"/>
        <w:rPr>
          <w:lang w:val="en-GB"/>
        </w:rPr>
      </w:pPr>
      <w:r w:rsidRPr="00CE6A06">
        <w:rPr>
          <w:lang w:val="en-GB"/>
        </w:rPr>
        <w:t>Don M</w:t>
      </w:r>
      <w:r w:rsidR="00822AC2" w:rsidRPr="00CE6A06">
        <w:rPr>
          <w:lang w:val="en-GB"/>
        </w:rPr>
        <w:t>.</w:t>
      </w:r>
      <w:r w:rsidRPr="00CE6A06">
        <w:rPr>
          <w:lang w:val="en-GB"/>
        </w:rPr>
        <w:t>P</w:t>
      </w:r>
      <w:r w:rsidR="00822AC2" w:rsidRPr="00CE6A06">
        <w:rPr>
          <w:lang w:val="en-GB"/>
        </w:rPr>
        <w:t>.</w:t>
      </w:r>
      <w:r w:rsidRPr="00CE6A06">
        <w:rPr>
          <w:lang w:val="en-GB"/>
        </w:rPr>
        <w:t>, Martin W., Ekkehard D.</w:t>
      </w:r>
      <w:r w:rsidR="00A20A9D" w:rsidRPr="00CE6A06">
        <w:rPr>
          <w:lang w:val="en-GB"/>
        </w:rPr>
        <w:t>,</w:t>
      </w:r>
      <w:r w:rsidR="00B01396" w:rsidRPr="00CE6A06">
        <w:rPr>
          <w:lang w:val="en-GB"/>
        </w:rPr>
        <w:t>2016,</w:t>
      </w:r>
      <w:r w:rsidRPr="00CE6A06">
        <w:rPr>
          <w:lang w:val="en-GB"/>
        </w:rPr>
        <w:t xml:space="preserve"> Lubrication Fundamentals. Third Edition</w:t>
      </w:r>
      <w:r w:rsidR="0069396D" w:rsidRPr="00CE6A06">
        <w:rPr>
          <w:lang w:val="en-GB"/>
        </w:rPr>
        <w:t>, 35-60</w:t>
      </w:r>
      <w:r w:rsidRPr="00CE6A06">
        <w:rPr>
          <w:lang w:val="en-GB"/>
        </w:rPr>
        <w:t xml:space="preserve">. CRC Press, Boca Raton, </w:t>
      </w:r>
      <w:r w:rsidR="00F02164" w:rsidRPr="00CE6A06">
        <w:rPr>
          <w:lang w:val="en-GB"/>
        </w:rPr>
        <w:t>USA</w:t>
      </w:r>
      <w:r w:rsidRPr="00CE6A06">
        <w:rPr>
          <w:lang w:val="en-GB"/>
        </w:rPr>
        <w:t>.</w:t>
      </w:r>
    </w:p>
    <w:p w14:paraId="6EB0EFEC" w14:textId="342BCB6B" w:rsidR="00600535" w:rsidRPr="00CE6A06" w:rsidRDefault="005A7D04" w:rsidP="00CE6A06">
      <w:pPr>
        <w:pStyle w:val="CETBodytext"/>
        <w:rPr>
          <w:lang w:val="en-GB"/>
        </w:rPr>
      </w:pPr>
      <w:r w:rsidRPr="00CE6A06">
        <w:rPr>
          <w:lang w:val="en-GB"/>
        </w:rPr>
        <w:t>Donald A</w:t>
      </w:r>
      <w:r w:rsidR="009935DB" w:rsidRPr="00CE6A06">
        <w:rPr>
          <w:lang w:val="en-GB"/>
        </w:rPr>
        <w:t>.</w:t>
      </w:r>
      <w:r w:rsidRPr="00CE6A06">
        <w:rPr>
          <w:lang w:val="en-GB"/>
        </w:rPr>
        <w:t>L</w:t>
      </w:r>
      <w:r w:rsidR="009935DB" w:rsidRPr="00CE6A06">
        <w:rPr>
          <w:lang w:val="en-GB"/>
        </w:rPr>
        <w:t>.</w:t>
      </w:r>
      <w:r w:rsidRPr="00CE6A06">
        <w:rPr>
          <w:lang w:val="en-GB"/>
        </w:rPr>
        <w:t>, John A</w:t>
      </w:r>
      <w:r w:rsidR="009935DB" w:rsidRPr="00CE6A06">
        <w:rPr>
          <w:lang w:val="en-GB"/>
        </w:rPr>
        <w:t>.</w:t>
      </w:r>
      <w:r w:rsidRPr="00CE6A06">
        <w:rPr>
          <w:lang w:val="en-GB"/>
        </w:rPr>
        <w:t>B</w:t>
      </w:r>
      <w:r w:rsidR="009935DB" w:rsidRPr="00CE6A06">
        <w:rPr>
          <w:lang w:val="en-GB"/>
        </w:rPr>
        <w:t>.</w:t>
      </w:r>
      <w:r w:rsidR="002121DF" w:rsidRPr="00CE6A06">
        <w:rPr>
          <w:lang w:val="en-GB"/>
        </w:rPr>
        <w:t>, 1979,</w:t>
      </w:r>
      <w:r w:rsidRPr="00CE6A06">
        <w:rPr>
          <w:lang w:val="en-GB"/>
        </w:rPr>
        <w:t xml:space="preserve"> Extreme pressure additives for lubricants, US4149982, USA.</w:t>
      </w:r>
    </w:p>
    <w:p w14:paraId="290A4BF9" w14:textId="6958CFA2" w:rsidR="00600535" w:rsidRPr="00CE6A06" w:rsidRDefault="00B82090" w:rsidP="00CE6A06">
      <w:pPr>
        <w:pStyle w:val="CETBodytext"/>
        <w:rPr>
          <w:lang w:val="en-GB"/>
        </w:rPr>
      </w:pPr>
      <w:r w:rsidRPr="00CE6A06">
        <w:rPr>
          <w:lang w:val="en-GB"/>
        </w:rPr>
        <w:t>Emile N</w:t>
      </w:r>
      <w:r w:rsidR="009C6098" w:rsidRPr="00CE6A06">
        <w:rPr>
          <w:lang w:val="en-GB"/>
        </w:rPr>
        <w:t>.</w:t>
      </w:r>
      <w:r w:rsidRPr="00CE6A06">
        <w:rPr>
          <w:lang w:val="en-GB"/>
        </w:rPr>
        <w:t>H</w:t>
      </w:r>
      <w:r w:rsidR="009C6098" w:rsidRPr="00CE6A06">
        <w:rPr>
          <w:lang w:val="en-GB"/>
        </w:rPr>
        <w:t>., 1974,</w:t>
      </w:r>
      <w:r w:rsidRPr="00CE6A06">
        <w:rPr>
          <w:lang w:val="en-GB"/>
        </w:rPr>
        <w:t xml:space="preserve"> Novel sulfur-containing compositions. US3926822, USA</w:t>
      </w:r>
      <w:r w:rsidR="009C6098" w:rsidRPr="00CE6A06">
        <w:rPr>
          <w:lang w:val="en-GB"/>
        </w:rPr>
        <w:t>.</w:t>
      </w:r>
    </w:p>
    <w:p w14:paraId="0B116AF3" w14:textId="228177D9" w:rsidR="00600535" w:rsidRPr="00CE6A06" w:rsidRDefault="00A04D6E" w:rsidP="00CE6A06">
      <w:pPr>
        <w:pStyle w:val="CETBodytext"/>
        <w:rPr>
          <w:lang w:val="en-GB"/>
        </w:rPr>
      </w:pPr>
      <w:r w:rsidRPr="00CE6A06">
        <w:rPr>
          <w:lang w:val="en-GB"/>
        </w:rPr>
        <w:t>Frank L</w:t>
      </w:r>
      <w:r w:rsidR="009C6098" w:rsidRPr="00CE6A06">
        <w:rPr>
          <w:lang w:val="en-GB"/>
        </w:rPr>
        <w:t>.</w:t>
      </w:r>
      <w:r w:rsidRPr="00CE6A06">
        <w:rPr>
          <w:lang w:val="en-GB"/>
        </w:rPr>
        <w:t>E</w:t>
      </w:r>
      <w:r w:rsidR="009C6098" w:rsidRPr="00CE6A06">
        <w:rPr>
          <w:lang w:val="en-GB"/>
        </w:rPr>
        <w:t>.</w:t>
      </w:r>
      <w:r w:rsidRPr="00CE6A06">
        <w:rPr>
          <w:lang w:val="en-GB"/>
        </w:rPr>
        <w:t>, Phillip S</w:t>
      </w:r>
      <w:r w:rsidR="009C6098" w:rsidRPr="00CE6A06">
        <w:rPr>
          <w:lang w:val="en-GB"/>
        </w:rPr>
        <w:t>.</w:t>
      </w:r>
      <w:r w:rsidRPr="00CE6A06">
        <w:rPr>
          <w:lang w:val="en-GB"/>
        </w:rPr>
        <w:t>L</w:t>
      </w:r>
      <w:r w:rsidR="009C6098" w:rsidRPr="00CE6A06">
        <w:rPr>
          <w:lang w:val="en-GB"/>
        </w:rPr>
        <w:t>.</w:t>
      </w:r>
      <w:r w:rsidRPr="00CE6A06">
        <w:rPr>
          <w:lang w:val="en-GB"/>
        </w:rPr>
        <w:t>, Robert E</w:t>
      </w:r>
      <w:r w:rsidR="009C6098" w:rsidRPr="00CE6A06">
        <w:rPr>
          <w:lang w:val="en-GB"/>
        </w:rPr>
        <w:t>.</w:t>
      </w:r>
      <w:r w:rsidRPr="00CE6A06">
        <w:rPr>
          <w:lang w:val="en-GB"/>
        </w:rPr>
        <w:t>A</w:t>
      </w:r>
      <w:r w:rsidR="009C6098" w:rsidRPr="00CE6A06">
        <w:rPr>
          <w:lang w:val="en-GB"/>
        </w:rPr>
        <w:t>.,</w:t>
      </w:r>
      <w:r w:rsidRPr="00CE6A06">
        <w:rPr>
          <w:lang w:val="en-GB"/>
        </w:rPr>
        <w:t xml:space="preserve"> </w:t>
      </w:r>
      <w:r w:rsidR="00D15F9F" w:rsidRPr="00CE6A06">
        <w:rPr>
          <w:lang w:val="en-GB"/>
        </w:rPr>
        <w:t xml:space="preserve">1979, </w:t>
      </w:r>
      <w:r w:rsidRPr="00CE6A06">
        <w:rPr>
          <w:lang w:val="en-GB"/>
        </w:rPr>
        <w:t xml:space="preserve">Vegetable oil derivatives as lubricant additives. EP0353872A1, </w:t>
      </w:r>
      <w:r w:rsidR="00345AF6" w:rsidRPr="00CE6A06">
        <w:rPr>
          <w:lang w:val="en-GB"/>
        </w:rPr>
        <w:t>EU</w:t>
      </w:r>
      <w:r w:rsidRPr="00CE6A06">
        <w:rPr>
          <w:lang w:val="en-GB"/>
        </w:rPr>
        <w:t>.</w:t>
      </w:r>
    </w:p>
    <w:p w14:paraId="5149A88A" w14:textId="1EB32B99" w:rsidR="006B4888" w:rsidRPr="00CE6A06" w:rsidRDefault="009535DC" w:rsidP="00CE6A06">
      <w:pPr>
        <w:pStyle w:val="CETBodytext"/>
        <w:rPr>
          <w:lang w:val="en-GB"/>
        </w:rPr>
      </w:pPr>
      <w:r w:rsidRPr="00CE6A06">
        <w:rPr>
          <w:lang w:val="en-GB"/>
        </w:rPr>
        <w:t>Leslie R</w:t>
      </w:r>
      <w:r w:rsidR="003A3EDB" w:rsidRPr="00CE6A06">
        <w:rPr>
          <w:lang w:val="en-GB"/>
        </w:rPr>
        <w:t>.</w:t>
      </w:r>
      <w:r w:rsidRPr="00CE6A06">
        <w:rPr>
          <w:lang w:val="en-GB"/>
        </w:rPr>
        <w:t>R</w:t>
      </w:r>
      <w:r w:rsidR="003A3EDB" w:rsidRPr="00CE6A06">
        <w:rPr>
          <w:lang w:val="en-GB"/>
        </w:rPr>
        <w:t>., 2017,</w:t>
      </w:r>
      <w:r w:rsidRPr="00CE6A06">
        <w:rPr>
          <w:lang w:val="en-GB"/>
        </w:rPr>
        <w:t xml:space="preserve"> Lubricant Additives</w:t>
      </w:r>
      <w:r w:rsidR="007A0F6E" w:rsidRPr="00CE6A06">
        <w:rPr>
          <w:lang w:val="en-GB"/>
        </w:rPr>
        <w:t>,</w:t>
      </w:r>
      <w:r w:rsidRPr="00CE6A06">
        <w:rPr>
          <w:lang w:val="en-GB"/>
        </w:rPr>
        <w:t xml:space="preserve"> Chemistry and Applications</w:t>
      </w:r>
      <w:r w:rsidR="007A0F6E" w:rsidRPr="00CE6A06">
        <w:rPr>
          <w:lang w:val="en-GB"/>
        </w:rPr>
        <w:t>,</w:t>
      </w:r>
      <w:r w:rsidRPr="00CE6A06">
        <w:rPr>
          <w:lang w:val="en-GB"/>
        </w:rPr>
        <w:t xml:space="preserve"> Third Edition</w:t>
      </w:r>
      <w:r w:rsidR="00DD1346" w:rsidRPr="00CE6A06">
        <w:rPr>
          <w:lang w:val="en-GB"/>
        </w:rPr>
        <w:t>, 211-278.</w:t>
      </w:r>
      <w:r w:rsidRPr="00CE6A06">
        <w:rPr>
          <w:lang w:val="en-GB"/>
        </w:rPr>
        <w:t xml:space="preserve"> CRC Press, Boca Raton, </w:t>
      </w:r>
      <w:r w:rsidR="00A2235C" w:rsidRPr="00CE6A06">
        <w:rPr>
          <w:lang w:val="en-GB"/>
        </w:rPr>
        <w:t>USA</w:t>
      </w:r>
      <w:r w:rsidRPr="00CE6A06">
        <w:rPr>
          <w:lang w:val="en-GB"/>
        </w:rPr>
        <w:t>.</w:t>
      </w:r>
    </w:p>
    <w:p w14:paraId="1AF2ED65" w14:textId="382B2422" w:rsidR="009535DC" w:rsidRPr="00CE6A06" w:rsidRDefault="00E42B49" w:rsidP="00CE6A06">
      <w:pPr>
        <w:pStyle w:val="CETBodytext"/>
        <w:rPr>
          <w:lang w:val="en-GB"/>
        </w:rPr>
      </w:pPr>
      <w:r w:rsidRPr="00CE6A06">
        <w:rPr>
          <w:lang w:val="en-GB"/>
        </w:rPr>
        <w:t>Pradeep L</w:t>
      </w:r>
      <w:r w:rsidR="00A2235C" w:rsidRPr="00CE6A06">
        <w:rPr>
          <w:lang w:val="en-GB"/>
        </w:rPr>
        <w:t>.</w:t>
      </w:r>
      <w:r w:rsidRPr="00CE6A06">
        <w:rPr>
          <w:lang w:val="en-GB"/>
        </w:rPr>
        <w:t>M</w:t>
      </w:r>
      <w:r w:rsidR="00A2235C" w:rsidRPr="00CE6A06">
        <w:rPr>
          <w:lang w:val="en-GB"/>
        </w:rPr>
        <w:t>.</w:t>
      </w:r>
      <w:r w:rsidRPr="00CE6A06">
        <w:rPr>
          <w:lang w:val="en-GB"/>
        </w:rPr>
        <w:t>, Sudeep P</w:t>
      </w:r>
      <w:r w:rsidR="00A2235C" w:rsidRPr="00CE6A06">
        <w:rPr>
          <w:lang w:val="en-GB"/>
        </w:rPr>
        <w:t>.</w:t>
      </w:r>
      <w:r w:rsidRPr="00CE6A06">
        <w:rPr>
          <w:lang w:val="en-GB"/>
        </w:rPr>
        <w:t>I</w:t>
      </w:r>
      <w:r w:rsidR="00A2235C" w:rsidRPr="00CE6A06">
        <w:rPr>
          <w:lang w:val="en-GB"/>
        </w:rPr>
        <w:t>.</w:t>
      </w:r>
      <w:r w:rsidRPr="00CE6A06">
        <w:rPr>
          <w:lang w:val="en-GB"/>
        </w:rPr>
        <w:t>, Michael N., Satish V</w:t>
      </w:r>
      <w:r w:rsidR="00A2235C" w:rsidRPr="00CE6A06">
        <w:rPr>
          <w:lang w:val="en-GB"/>
        </w:rPr>
        <w:t>.</w:t>
      </w:r>
      <w:r w:rsidRPr="00CE6A06">
        <w:rPr>
          <w:lang w:val="en-GB"/>
        </w:rPr>
        <w:t>K</w:t>
      </w:r>
      <w:r w:rsidR="00A2235C" w:rsidRPr="00CE6A06">
        <w:rPr>
          <w:lang w:val="en-GB"/>
        </w:rPr>
        <w:t>.</w:t>
      </w:r>
      <w:r w:rsidRPr="00CE6A06">
        <w:rPr>
          <w:lang w:val="en-GB"/>
        </w:rPr>
        <w:t>, Michael R</w:t>
      </w:r>
      <w:r w:rsidR="00A2235C" w:rsidRPr="00CE6A06">
        <w:rPr>
          <w:lang w:val="en-GB"/>
        </w:rPr>
        <w:t>.</w:t>
      </w:r>
      <w:r w:rsidRPr="00CE6A06">
        <w:rPr>
          <w:lang w:val="en-GB"/>
        </w:rPr>
        <w:t>L</w:t>
      </w:r>
      <w:r w:rsidR="00A2235C" w:rsidRPr="00CE6A06">
        <w:rPr>
          <w:lang w:val="en-GB"/>
        </w:rPr>
        <w:t>.,</w:t>
      </w:r>
      <w:r w:rsidRPr="00CE6A06">
        <w:rPr>
          <w:lang w:val="en-GB"/>
        </w:rPr>
        <w:t xml:space="preserve"> </w:t>
      </w:r>
      <w:r w:rsidR="00FF5516" w:rsidRPr="00CE6A06">
        <w:rPr>
          <w:lang w:val="en-GB"/>
        </w:rPr>
        <w:t xml:space="preserve">2013, </w:t>
      </w:r>
      <w:r w:rsidRPr="00CE6A06">
        <w:rPr>
          <w:lang w:val="en-GB"/>
        </w:rPr>
        <w:t>Tribology for Scientists and Engineers</w:t>
      </w:r>
      <w:r w:rsidR="00FF5516" w:rsidRPr="00CE6A06">
        <w:rPr>
          <w:lang w:val="en-GB"/>
        </w:rPr>
        <w:t>, 317-318</w:t>
      </w:r>
      <w:r w:rsidRPr="00CE6A06">
        <w:rPr>
          <w:lang w:val="en-GB"/>
        </w:rPr>
        <w:t xml:space="preserve">. Springer, New York, </w:t>
      </w:r>
      <w:r w:rsidR="00FF5516" w:rsidRPr="00CE6A06">
        <w:rPr>
          <w:lang w:val="en-GB"/>
        </w:rPr>
        <w:t>USA</w:t>
      </w:r>
      <w:r w:rsidRPr="00CE6A06">
        <w:rPr>
          <w:lang w:val="en-GB"/>
        </w:rPr>
        <w:t>.</w:t>
      </w:r>
    </w:p>
    <w:p w14:paraId="54E06644" w14:textId="40451EC4" w:rsidR="00E42B49" w:rsidRPr="00CE6A06" w:rsidRDefault="00CD6F77" w:rsidP="00CE6A06">
      <w:pPr>
        <w:pStyle w:val="CETBodytext"/>
        <w:rPr>
          <w:lang w:val="en-GB"/>
        </w:rPr>
      </w:pPr>
      <w:r w:rsidRPr="00CE6A06">
        <w:rPr>
          <w:lang w:val="en-GB"/>
        </w:rPr>
        <w:t>Shubhamita B</w:t>
      </w:r>
      <w:r w:rsidR="00021AA7" w:rsidRPr="00CE6A06">
        <w:rPr>
          <w:lang w:val="en-GB"/>
        </w:rPr>
        <w:t>.</w:t>
      </w:r>
      <w:r w:rsidRPr="00CE6A06">
        <w:rPr>
          <w:lang w:val="en-GB"/>
        </w:rPr>
        <w:t>, James N</w:t>
      </w:r>
      <w:r w:rsidR="00021AA7" w:rsidRPr="00CE6A06">
        <w:rPr>
          <w:lang w:val="en-GB"/>
        </w:rPr>
        <w:t>.</w:t>
      </w:r>
      <w:r w:rsidRPr="00CE6A06">
        <w:rPr>
          <w:lang w:val="en-GB"/>
        </w:rPr>
        <w:t>V</w:t>
      </w:r>
      <w:r w:rsidR="00021AA7" w:rsidRPr="00CE6A06">
        <w:rPr>
          <w:lang w:val="en-GB"/>
        </w:rPr>
        <w:t>.</w:t>
      </w:r>
      <w:r w:rsidRPr="00CE6A06">
        <w:rPr>
          <w:lang w:val="en-GB"/>
        </w:rPr>
        <w:t>, Michael S</w:t>
      </w:r>
      <w:r w:rsidR="00021AA7" w:rsidRPr="00CE6A06">
        <w:rPr>
          <w:lang w:val="en-GB"/>
        </w:rPr>
        <w:t>.</w:t>
      </w:r>
      <w:r w:rsidRPr="00CE6A06">
        <w:rPr>
          <w:lang w:val="en-GB"/>
        </w:rPr>
        <w:t>W</w:t>
      </w:r>
      <w:r w:rsidR="00021AA7" w:rsidRPr="00CE6A06">
        <w:rPr>
          <w:lang w:val="en-GB"/>
        </w:rPr>
        <w:t>., 2019,</w:t>
      </w:r>
      <w:r w:rsidRPr="00CE6A06">
        <w:rPr>
          <w:lang w:val="en-GB"/>
        </w:rPr>
        <w:t xml:space="preserve"> Industrial gear lubricant additive package with biodegradable sulfur component. US10208267, USA.</w:t>
      </w:r>
    </w:p>
    <w:p w14:paraId="19C230D7" w14:textId="340DEE75" w:rsidR="00CD6F77" w:rsidRPr="00CE6A06" w:rsidRDefault="00F37C3C" w:rsidP="00CE6A06">
      <w:pPr>
        <w:pStyle w:val="CETBodytext"/>
        <w:rPr>
          <w:lang w:val="en-GB"/>
        </w:rPr>
      </w:pPr>
      <w:r w:rsidRPr="00CE6A06">
        <w:rPr>
          <w:lang w:val="en-GB"/>
        </w:rPr>
        <w:t>Syed Q</w:t>
      </w:r>
      <w:r w:rsidR="007A0F6E" w:rsidRPr="00CE6A06">
        <w:rPr>
          <w:lang w:val="en-GB"/>
        </w:rPr>
        <w:t>.</w:t>
      </w:r>
      <w:r w:rsidRPr="00CE6A06">
        <w:rPr>
          <w:lang w:val="en-GB"/>
        </w:rPr>
        <w:t>A</w:t>
      </w:r>
      <w:r w:rsidR="007A0F6E" w:rsidRPr="00CE6A06">
        <w:rPr>
          <w:lang w:val="en-GB"/>
        </w:rPr>
        <w:t>.</w:t>
      </w:r>
      <w:r w:rsidRPr="00CE6A06">
        <w:rPr>
          <w:lang w:val="en-GB"/>
        </w:rPr>
        <w:t>R</w:t>
      </w:r>
      <w:r w:rsidR="007A0F6E" w:rsidRPr="00CE6A06">
        <w:rPr>
          <w:lang w:val="en-GB"/>
        </w:rPr>
        <w:t>., 2009,</w:t>
      </w:r>
      <w:r w:rsidRPr="00CE6A06">
        <w:rPr>
          <w:lang w:val="en-GB"/>
        </w:rPr>
        <w:t xml:space="preserve"> A Comprehensive Review of Lubricant Chemistry, Technology, Selection and Design</w:t>
      </w:r>
      <w:r w:rsidR="007A0F6E" w:rsidRPr="00CE6A06">
        <w:rPr>
          <w:lang w:val="en-GB"/>
        </w:rPr>
        <w:t xml:space="preserve"> 149-181</w:t>
      </w:r>
      <w:r w:rsidRPr="00CE6A06">
        <w:rPr>
          <w:lang w:val="en-GB"/>
        </w:rPr>
        <w:t xml:space="preserve">. ASTM International, West Conshohocken, </w:t>
      </w:r>
      <w:r w:rsidR="007A0F6E" w:rsidRPr="00CE6A06">
        <w:rPr>
          <w:lang w:val="en-GB"/>
        </w:rPr>
        <w:t>USA.</w:t>
      </w:r>
    </w:p>
    <w:p w14:paraId="16665A65" w14:textId="654210DB" w:rsidR="00807C05" w:rsidRPr="00CE6A06" w:rsidRDefault="00807C05" w:rsidP="00CE6A06">
      <w:pPr>
        <w:pStyle w:val="CETBodytext"/>
        <w:rPr>
          <w:lang w:val="en-GB"/>
        </w:rPr>
      </w:pPr>
      <w:r w:rsidRPr="00CE6A06">
        <w:rPr>
          <w:lang w:val="en-GB"/>
        </w:rPr>
        <w:t>Theo M., Kirsten B., Thorsten B.</w:t>
      </w:r>
      <w:r w:rsidR="007A0F6E" w:rsidRPr="00CE6A06">
        <w:rPr>
          <w:lang w:val="en-GB"/>
        </w:rPr>
        <w:t>, 2011,</w:t>
      </w:r>
      <w:r w:rsidRPr="00CE6A06">
        <w:rPr>
          <w:lang w:val="en-GB"/>
        </w:rPr>
        <w:t xml:space="preserve"> Industrial Tribology</w:t>
      </w:r>
      <w:r w:rsidR="007A0F6E" w:rsidRPr="00CE6A06">
        <w:rPr>
          <w:lang w:val="en-GB"/>
        </w:rPr>
        <w:t>,</w:t>
      </w:r>
      <w:r w:rsidRPr="00CE6A06">
        <w:rPr>
          <w:lang w:val="en-GB"/>
        </w:rPr>
        <w:t xml:space="preserve"> Tribosystems, Friction, Wear and Surface Engineering, Lubrication</w:t>
      </w:r>
      <w:r w:rsidR="007A0F6E" w:rsidRPr="00CE6A06">
        <w:rPr>
          <w:lang w:val="en-GB"/>
        </w:rPr>
        <w:t xml:space="preserve"> </w:t>
      </w:r>
      <w:r w:rsidR="00CD5C57" w:rsidRPr="00CE6A06">
        <w:rPr>
          <w:lang w:val="en-GB"/>
        </w:rPr>
        <w:t>320-335</w:t>
      </w:r>
      <w:r w:rsidRPr="00CE6A06">
        <w:rPr>
          <w:lang w:val="en-GB"/>
        </w:rPr>
        <w:t xml:space="preserve">. Wiley, Weinheim, </w:t>
      </w:r>
      <w:r w:rsidR="00C42B41" w:rsidRPr="00CE6A06">
        <w:rPr>
          <w:lang w:val="en-GB"/>
        </w:rPr>
        <w:t>Germany</w:t>
      </w:r>
      <w:r w:rsidRPr="00CE6A06">
        <w:rPr>
          <w:lang w:val="en-GB"/>
        </w:rPr>
        <w:t>.</w:t>
      </w:r>
    </w:p>
    <w:p w14:paraId="7FD71489" w14:textId="4ACE55DE" w:rsidR="00807C05" w:rsidRPr="00CE6A06" w:rsidRDefault="00085198" w:rsidP="00CE6A06">
      <w:pPr>
        <w:pStyle w:val="CETBodytext"/>
        <w:rPr>
          <w:lang w:val="en-GB"/>
        </w:rPr>
      </w:pPr>
      <w:r w:rsidRPr="00CE6A06">
        <w:rPr>
          <w:lang w:val="en-GB"/>
        </w:rPr>
        <w:t>Theo M., Wilfried D.</w:t>
      </w:r>
      <w:r w:rsidR="00C42B41" w:rsidRPr="00CE6A06">
        <w:rPr>
          <w:lang w:val="en-GB"/>
        </w:rPr>
        <w:t>, 2007,</w:t>
      </w:r>
      <w:r w:rsidRPr="00CE6A06">
        <w:rPr>
          <w:lang w:val="en-GB"/>
        </w:rPr>
        <w:t xml:space="preserve"> Lubricants and Lubrication</w:t>
      </w:r>
      <w:r w:rsidR="00C42B41" w:rsidRPr="00CE6A06">
        <w:rPr>
          <w:lang w:val="en-GB"/>
        </w:rPr>
        <w:t xml:space="preserve">, </w:t>
      </w:r>
      <w:r w:rsidRPr="00CE6A06">
        <w:rPr>
          <w:lang w:val="en-GB"/>
        </w:rPr>
        <w:t>Second Edition</w:t>
      </w:r>
      <w:r w:rsidR="00C42B41" w:rsidRPr="00CE6A06">
        <w:rPr>
          <w:lang w:val="en-GB"/>
        </w:rPr>
        <w:t xml:space="preserve"> 88-119</w:t>
      </w:r>
      <w:r w:rsidRPr="00CE6A06">
        <w:rPr>
          <w:lang w:val="en-GB"/>
        </w:rPr>
        <w:t xml:space="preserve">. Wiley, Weinheim, </w:t>
      </w:r>
      <w:r w:rsidR="0008494B" w:rsidRPr="00CE6A06">
        <w:rPr>
          <w:lang w:val="en-GB"/>
        </w:rPr>
        <w:t>Germany</w:t>
      </w:r>
      <w:r w:rsidRPr="00CE6A06">
        <w:rPr>
          <w:lang w:val="en-GB"/>
        </w:rPr>
        <w:t>.</w:t>
      </w:r>
    </w:p>
    <w:p w14:paraId="4EFD5B2B" w14:textId="6A02F18F" w:rsidR="00085198" w:rsidRPr="00CE6A06" w:rsidRDefault="00DB1571" w:rsidP="00CE6A06">
      <w:pPr>
        <w:pStyle w:val="CETBodytext"/>
        <w:rPr>
          <w:lang w:val="en-GB"/>
        </w:rPr>
      </w:pPr>
      <w:r w:rsidRPr="00CE6A06">
        <w:rPr>
          <w:lang w:val="en-GB"/>
        </w:rPr>
        <w:t>Vámos E.</w:t>
      </w:r>
      <w:r w:rsidR="0008494B" w:rsidRPr="00CE6A06">
        <w:rPr>
          <w:lang w:val="en-GB"/>
        </w:rPr>
        <w:t>, 1983,</w:t>
      </w:r>
      <w:r w:rsidRPr="00CE6A06">
        <w:rPr>
          <w:lang w:val="en-GB"/>
        </w:rPr>
        <w:t xml:space="preserve"> Tribological Handbook</w:t>
      </w:r>
      <w:r w:rsidR="0008494B" w:rsidRPr="00CE6A06">
        <w:rPr>
          <w:lang w:val="en-GB"/>
        </w:rPr>
        <w:t>,</w:t>
      </w:r>
      <w:r w:rsidRPr="00CE6A06">
        <w:rPr>
          <w:lang w:val="en-GB"/>
        </w:rPr>
        <w:t xml:space="preserve"> Friction, wear and lubrication of machines and machine parts</w:t>
      </w:r>
      <w:r w:rsidR="00AE32E6" w:rsidRPr="00CE6A06">
        <w:rPr>
          <w:lang w:val="en-GB"/>
        </w:rPr>
        <w:t>,</w:t>
      </w:r>
      <w:r w:rsidR="0008494B" w:rsidRPr="00CE6A06">
        <w:rPr>
          <w:lang w:val="en-GB"/>
        </w:rPr>
        <w:t xml:space="preserve"> 36-116</w:t>
      </w:r>
      <w:r w:rsidRPr="00CE6A06">
        <w:rPr>
          <w:lang w:val="en-GB"/>
        </w:rPr>
        <w:t xml:space="preserve">. Technical Publishing House, Budapest, </w:t>
      </w:r>
      <w:r w:rsidR="0008494B" w:rsidRPr="00CE6A06">
        <w:rPr>
          <w:lang w:val="en-GB"/>
        </w:rPr>
        <w:t>Hungary</w:t>
      </w:r>
      <w:r w:rsidRPr="00CE6A06">
        <w:rPr>
          <w:lang w:val="en-GB"/>
        </w:rPr>
        <w:t>.</w:t>
      </w:r>
    </w:p>
    <w:p w14:paraId="4475EC7C" w14:textId="7B0AC4AF" w:rsidR="009034DD" w:rsidRPr="00CE6A06" w:rsidRDefault="00DA4F18" w:rsidP="00CE6A06">
      <w:pPr>
        <w:pStyle w:val="CETBodytext"/>
        <w:rPr>
          <w:lang w:val="en-GB"/>
        </w:rPr>
      </w:pPr>
      <w:r w:rsidRPr="00CE6A06">
        <w:rPr>
          <w:lang w:val="en-GB"/>
        </w:rPr>
        <w:t>Hammond E.W.,</w:t>
      </w:r>
      <w:r w:rsidR="005F330E" w:rsidRPr="00CE6A06">
        <w:rPr>
          <w:lang w:val="en-GB"/>
        </w:rPr>
        <w:t xml:space="preserve"> </w:t>
      </w:r>
      <w:r w:rsidRPr="00CE6A06">
        <w:rPr>
          <w:lang w:val="en-GB"/>
        </w:rPr>
        <w:t>2003</w:t>
      </w:r>
      <w:r w:rsidR="005F330E" w:rsidRPr="00CE6A06">
        <w:rPr>
          <w:lang w:val="en-GB"/>
        </w:rPr>
        <w:t>,</w:t>
      </w:r>
      <w:r w:rsidRPr="00CE6A06">
        <w:rPr>
          <w:lang w:val="en-GB"/>
        </w:rPr>
        <w:t xml:space="preserve"> Vegetable oils: Types. and properties</w:t>
      </w:r>
      <w:r w:rsidR="005F330E" w:rsidRPr="00CE6A06">
        <w:rPr>
          <w:lang w:val="en-GB"/>
        </w:rPr>
        <w:t>, Second Edition, 5899-5904</w:t>
      </w:r>
      <w:r w:rsidRPr="00CE6A06">
        <w:rPr>
          <w:lang w:val="en-GB"/>
        </w:rPr>
        <w:t xml:space="preserve">. Academic Press, </w:t>
      </w:r>
      <w:r w:rsidR="00AF5A78" w:rsidRPr="00CE6A06">
        <w:rPr>
          <w:lang w:val="en-GB"/>
        </w:rPr>
        <w:t xml:space="preserve">Cambridge, </w:t>
      </w:r>
      <w:r w:rsidRPr="00CE6A06">
        <w:rPr>
          <w:lang w:val="en-GB"/>
        </w:rPr>
        <w:t>USA.</w:t>
      </w:r>
    </w:p>
    <w:p w14:paraId="6A2DD440" w14:textId="6D998489" w:rsidR="0056468A" w:rsidRPr="00CE6A06" w:rsidRDefault="00167109" w:rsidP="00CE6A06">
      <w:pPr>
        <w:pStyle w:val="CETBodytext"/>
        <w:rPr>
          <w:lang w:val="en-GB"/>
        </w:rPr>
      </w:pPr>
      <w:r w:rsidRPr="00CE6A06">
        <w:rPr>
          <w:lang w:val="en-GB"/>
        </w:rPr>
        <w:t>Karak</w:t>
      </w:r>
      <w:r w:rsidR="00AF5A78" w:rsidRPr="00CE6A06">
        <w:rPr>
          <w:lang w:val="en-GB"/>
        </w:rPr>
        <w:t xml:space="preserve"> N., 2012,</w:t>
      </w:r>
      <w:r w:rsidRPr="00CE6A06">
        <w:rPr>
          <w:lang w:val="en-GB"/>
        </w:rPr>
        <w:t xml:space="preserve"> Vegetable oils and their derivatives</w:t>
      </w:r>
      <w:r w:rsidR="00AF5A78" w:rsidRPr="00CE6A06">
        <w:rPr>
          <w:lang w:val="en-GB"/>
        </w:rPr>
        <w:t>, 54-94</w:t>
      </w:r>
      <w:r w:rsidRPr="00CE6A06">
        <w:rPr>
          <w:lang w:val="en-GB"/>
        </w:rPr>
        <w:t>. Woodhead Publishing Ltd</w:t>
      </w:r>
      <w:r w:rsidR="00A95842" w:rsidRPr="00CE6A06">
        <w:rPr>
          <w:lang w:val="en-GB"/>
        </w:rPr>
        <w:t>.</w:t>
      </w:r>
      <w:r w:rsidRPr="00CE6A06">
        <w:rPr>
          <w:lang w:val="en-GB"/>
        </w:rPr>
        <w:t xml:space="preserve">, </w:t>
      </w:r>
      <w:r w:rsidR="00A95842" w:rsidRPr="00CE6A06">
        <w:rPr>
          <w:lang w:val="en-GB"/>
        </w:rPr>
        <w:t>Sawston, England</w:t>
      </w:r>
      <w:r w:rsidRPr="00CE6A06">
        <w:rPr>
          <w:lang w:val="en-GB"/>
        </w:rPr>
        <w:t>.</w:t>
      </w:r>
    </w:p>
    <w:p w14:paraId="6C1CE2AA" w14:textId="2D16D2EB" w:rsidR="00167109" w:rsidRPr="00CE6A06" w:rsidRDefault="008E355A" w:rsidP="00CE6A06">
      <w:pPr>
        <w:pStyle w:val="CETBodytext"/>
        <w:rPr>
          <w:lang w:val="en-GB"/>
        </w:rPr>
      </w:pPr>
      <w:r w:rsidRPr="00CE6A06">
        <w:rPr>
          <w:lang w:val="en-GB"/>
        </w:rPr>
        <w:t>Fernando</w:t>
      </w:r>
      <w:r w:rsidR="00E0074F" w:rsidRPr="00CE6A06">
        <w:rPr>
          <w:lang w:val="en-GB"/>
        </w:rPr>
        <w:t xml:space="preserve"> S.</w:t>
      </w:r>
      <w:r w:rsidRPr="00CE6A06">
        <w:rPr>
          <w:lang w:val="en-GB"/>
        </w:rPr>
        <w:t>, Hanna</w:t>
      </w:r>
      <w:r w:rsidR="00CC0800" w:rsidRPr="00CE6A06">
        <w:rPr>
          <w:lang w:val="en-GB"/>
        </w:rPr>
        <w:t xml:space="preserve"> M.</w:t>
      </w:r>
      <w:r w:rsidRPr="00CE6A06">
        <w:rPr>
          <w:lang w:val="en-GB"/>
        </w:rPr>
        <w:t>, Adhikari</w:t>
      </w:r>
      <w:r w:rsidR="00CC0800" w:rsidRPr="00CE6A06">
        <w:rPr>
          <w:lang w:val="en-GB"/>
        </w:rPr>
        <w:t xml:space="preserve"> S.</w:t>
      </w:r>
      <w:r w:rsidRPr="00CE6A06">
        <w:rPr>
          <w:lang w:val="en-GB"/>
        </w:rPr>
        <w:t>,</w:t>
      </w:r>
      <w:r w:rsidR="00CC0800" w:rsidRPr="00CE6A06">
        <w:rPr>
          <w:lang w:val="en-GB"/>
        </w:rPr>
        <w:t xml:space="preserve"> 2007,</w:t>
      </w:r>
      <w:r w:rsidRPr="00CE6A06">
        <w:rPr>
          <w:lang w:val="en-GB"/>
        </w:rPr>
        <w:t xml:space="preserve"> Lubricity characteristics of selected vegetable oils, </w:t>
      </w:r>
      <w:r w:rsidR="00CC0800" w:rsidRPr="00CE6A06">
        <w:rPr>
          <w:lang w:val="en-GB"/>
        </w:rPr>
        <w:t>animal</w:t>
      </w:r>
      <w:r w:rsidRPr="00CE6A06">
        <w:rPr>
          <w:lang w:val="en-GB"/>
        </w:rPr>
        <w:t xml:space="preserve"> fats and their derivatives</w:t>
      </w:r>
      <w:r w:rsidR="00CC0800" w:rsidRPr="00CE6A06">
        <w:rPr>
          <w:lang w:val="en-GB"/>
        </w:rPr>
        <w:t>.</w:t>
      </w:r>
      <w:r w:rsidRPr="00CE6A06">
        <w:rPr>
          <w:lang w:val="en-GB"/>
        </w:rPr>
        <w:t xml:space="preserve"> Appl</w:t>
      </w:r>
      <w:r w:rsidR="00CC0800" w:rsidRPr="00CE6A06">
        <w:rPr>
          <w:lang w:val="en-GB"/>
        </w:rPr>
        <w:t>ied</w:t>
      </w:r>
      <w:r w:rsidRPr="00CE6A06">
        <w:rPr>
          <w:lang w:val="en-GB"/>
        </w:rPr>
        <w:t xml:space="preserve"> Eng</w:t>
      </w:r>
      <w:r w:rsidR="00CC0800" w:rsidRPr="00CE6A06">
        <w:rPr>
          <w:lang w:val="en-GB"/>
        </w:rPr>
        <w:t>ineering</w:t>
      </w:r>
      <w:r w:rsidRPr="00CE6A06">
        <w:rPr>
          <w:lang w:val="en-GB"/>
        </w:rPr>
        <w:t xml:space="preserve"> Agric</w:t>
      </w:r>
      <w:r w:rsidR="00B87BAA" w:rsidRPr="00CE6A06">
        <w:rPr>
          <w:lang w:val="en-GB"/>
        </w:rPr>
        <w:t>ulture,</w:t>
      </w:r>
      <w:r w:rsidRPr="00CE6A06">
        <w:rPr>
          <w:lang w:val="en-GB"/>
        </w:rPr>
        <w:t xml:space="preserve"> 23</w:t>
      </w:r>
      <w:r w:rsidR="00AB11BF" w:rsidRPr="00CE6A06">
        <w:rPr>
          <w:lang w:val="en-GB"/>
        </w:rPr>
        <w:t>,</w:t>
      </w:r>
      <w:r w:rsidRPr="00CE6A06">
        <w:rPr>
          <w:lang w:val="en-GB"/>
        </w:rPr>
        <w:t xml:space="preserve"> 5–11</w:t>
      </w:r>
      <w:r w:rsidR="00FD7D80" w:rsidRPr="00CE6A06">
        <w:rPr>
          <w:lang w:val="en-GB"/>
        </w:rPr>
        <w:t>, DOI: 10.13031/issn.0883-8542</w:t>
      </w:r>
      <w:r w:rsidRPr="00CE6A06">
        <w:rPr>
          <w:lang w:val="en-GB"/>
        </w:rPr>
        <w:t>.</w:t>
      </w:r>
    </w:p>
    <w:p w14:paraId="1FC20CA9" w14:textId="4FDF26A6" w:rsidR="00B723AA" w:rsidRPr="00CE6A06" w:rsidRDefault="00D444F6" w:rsidP="00CE6A06">
      <w:pPr>
        <w:pStyle w:val="CETBodytext"/>
        <w:rPr>
          <w:lang w:val="en-GB"/>
        </w:rPr>
      </w:pPr>
      <w:r w:rsidRPr="00CE6A06">
        <w:rPr>
          <w:lang w:val="en-GB"/>
        </w:rPr>
        <w:t>Mihail I</w:t>
      </w:r>
      <w:r w:rsidR="0026291F" w:rsidRPr="00CE6A06">
        <w:rPr>
          <w:lang w:val="en-GB"/>
        </w:rPr>
        <w:t>.</w:t>
      </w:r>
      <w:r w:rsidRPr="00CE6A06">
        <w:rPr>
          <w:lang w:val="en-GB"/>
        </w:rPr>
        <w:t>, Dragana R</w:t>
      </w:r>
      <w:r w:rsidR="0026291F" w:rsidRPr="00CE6A06">
        <w:rPr>
          <w:lang w:val="en-GB"/>
        </w:rPr>
        <w:t>.</w:t>
      </w:r>
      <w:r w:rsidRPr="00CE6A06">
        <w:rPr>
          <w:lang w:val="en-GB"/>
        </w:rPr>
        <w:t>, Xianmei W</w:t>
      </w:r>
      <w:r w:rsidR="0026291F" w:rsidRPr="00CE6A06">
        <w:rPr>
          <w:lang w:val="en-GB"/>
        </w:rPr>
        <w:t>.</w:t>
      </w:r>
      <w:r w:rsidRPr="00CE6A06">
        <w:rPr>
          <w:lang w:val="en-GB"/>
        </w:rPr>
        <w:t>, Zoran S.</w:t>
      </w:r>
      <w:r w:rsidR="0026291F" w:rsidRPr="00CE6A06">
        <w:rPr>
          <w:lang w:val="en-GB"/>
        </w:rPr>
        <w:t>P.</w:t>
      </w:r>
      <w:r w:rsidRPr="00CE6A06">
        <w:rPr>
          <w:lang w:val="en-GB"/>
        </w:rPr>
        <w:t>, Thomas A.U</w:t>
      </w:r>
      <w:r w:rsidR="0097054A" w:rsidRPr="00CE6A06">
        <w:rPr>
          <w:lang w:val="en-GB"/>
        </w:rPr>
        <w:t>.</w:t>
      </w:r>
      <w:r w:rsidRPr="00CE6A06">
        <w:rPr>
          <w:lang w:val="en-GB"/>
        </w:rPr>
        <w:t xml:space="preserve">, </w:t>
      </w:r>
      <w:r w:rsidR="00B723AA" w:rsidRPr="00CE6A06">
        <w:rPr>
          <w:lang w:val="en-GB"/>
        </w:rPr>
        <w:t xml:space="preserve">2015, </w:t>
      </w:r>
      <w:r w:rsidRPr="00CE6A06">
        <w:rPr>
          <w:lang w:val="en-GB"/>
        </w:rPr>
        <w:t>Functionalized vegetable oils as precursors for polymers by thiol-ene reaction</w:t>
      </w:r>
      <w:r w:rsidR="00B723AA" w:rsidRPr="00CE6A06">
        <w:rPr>
          <w:lang w:val="en-GB"/>
        </w:rPr>
        <w:t>.</w:t>
      </w:r>
      <w:r w:rsidRPr="00CE6A06">
        <w:rPr>
          <w:lang w:val="en-GB"/>
        </w:rPr>
        <w:t xml:space="preserve"> European Polymer Journal</w:t>
      </w:r>
      <w:r w:rsidR="00210C39" w:rsidRPr="00CE6A06">
        <w:rPr>
          <w:lang w:val="en-GB"/>
        </w:rPr>
        <w:t>, 67 (1/2), 439-448.</w:t>
      </w:r>
    </w:p>
    <w:p w14:paraId="3CC6B3FA" w14:textId="1D839B4F" w:rsidR="00EA1FA1" w:rsidRDefault="0064502A" w:rsidP="00CE6A06">
      <w:pPr>
        <w:pStyle w:val="CETBodytext"/>
        <w:rPr>
          <w:lang w:val="en-GB"/>
        </w:rPr>
      </w:pPr>
      <w:r w:rsidRPr="00CE6A06">
        <w:rPr>
          <w:lang w:val="en-GB"/>
        </w:rPr>
        <w:t>Bharat B</w:t>
      </w:r>
      <w:r w:rsidR="00210C39" w:rsidRPr="00CE6A06">
        <w:rPr>
          <w:lang w:val="en-GB"/>
        </w:rPr>
        <w:t>.,</w:t>
      </w:r>
      <w:r w:rsidRPr="00CE6A06">
        <w:rPr>
          <w:lang w:val="en-GB"/>
        </w:rPr>
        <w:t xml:space="preserve"> Gupta</w:t>
      </w:r>
      <w:r w:rsidR="000B6D3E" w:rsidRPr="00CE6A06">
        <w:rPr>
          <w:lang w:val="en-GB"/>
        </w:rPr>
        <w:t xml:space="preserve"> K.,</w:t>
      </w:r>
      <w:r w:rsidRPr="00CE6A06">
        <w:rPr>
          <w:lang w:val="en-GB"/>
        </w:rPr>
        <w:t xml:space="preserve"> 1991</w:t>
      </w:r>
      <w:r w:rsidR="000B6D3E" w:rsidRPr="00CE6A06">
        <w:rPr>
          <w:lang w:val="en-GB"/>
        </w:rPr>
        <w:t>,</w:t>
      </w:r>
      <w:r w:rsidRPr="00CE6A06">
        <w:rPr>
          <w:lang w:val="en-GB"/>
        </w:rPr>
        <w:t xml:space="preserve"> </w:t>
      </w:r>
      <w:r w:rsidR="001A3647" w:rsidRPr="00CE6A06">
        <w:rPr>
          <w:lang w:val="en-GB"/>
        </w:rPr>
        <w:t>Handbook of Tribology: Materials, Coatings, and Surface Treatments</w:t>
      </w:r>
      <w:r w:rsidRPr="00CE6A06">
        <w:rPr>
          <w:lang w:val="en-GB"/>
        </w:rPr>
        <w:t xml:space="preserve">. McGraw-Hill </w:t>
      </w:r>
      <w:r w:rsidR="0097054A" w:rsidRPr="00CE6A06">
        <w:rPr>
          <w:lang w:val="en-GB"/>
        </w:rPr>
        <w:t>I</w:t>
      </w:r>
      <w:r w:rsidRPr="00CE6A06">
        <w:rPr>
          <w:lang w:val="en-GB"/>
        </w:rPr>
        <w:t>nc</w:t>
      </w:r>
      <w:r w:rsidR="0097054A" w:rsidRPr="00CE6A06">
        <w:rPr>
          <w:lang w:val="en-GB"/>
        </w:rPr>
        <w:t>.</w:t>
      </w:r>
      <w:r w:rsidR="00B62552" w:rsidRPr="00CE6A06">
        <w:rPr>
          <w:lang w:val="en-GB"/>
        </w:rPr>
        <w:t>, New York, USA.</w:t>
      </w:r>
    </w:p>
    <w:p w14:paraId="1276E270" w14:textId="77777777" w:rsidR="00CF0F6A" w:rsidRDefault="00CF0F6A" w:rsidP="00CF0F6A">
      <w:r>
        <w:t>Nidia S. Caetano, Joana I.M. Teixeira, Teresa M. Mata: Enzymatic Catalysis of Vegetable Oil with Ethanol in the Presence of Co-solvents, Chemical Engineering Transactions, VOL. 26, 2012, DOI: 10.33.03/CET1226014</w:t>
      </w:r>
    </w:p>
    <w:p w14:paraId="5CE9DAAC" w14:textId="77777777" w:rsidR="00CF0F6A" w:rsidRPr="00CE6A06" w:rsidRDefault="00CF0F6A" w:rsidP="00CE6A06">
      <w:pPr>
        <w:pStyle w:val="CETBodytext"/>
        <w:rPr>
          <w:lang w:val="en-GB"/>
        </w:rPr>
      </w:pPr>
    </w:p>
    <w:sectPr w:rsidR="00CF0F6A" w:rsidRPr="00CE6A0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BE980" w14:textId="77777777" w:rsidR="009F78D4" w:rsidRDefault="009F78D4" w:rsidP="004F5E36">
      <w:r>
        <w:separator/>
      </w:r>
    </w:p>
  </w:endnote>
  <w:endnote w:type="continuationSeparator" w:id="0">
    <w:p w14:paraId="3DDA3F24" w14:textId="77777777" w:rsidR="009F78D4" w:rsidRDefault="009F78D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Noto Serif">
    <w:altName w:val="Cambria"/>
    <w:charset w:val="00"/>
    <w:family w:val="roman"/>
    <w:pitch w:val="variable"/>
    <w:sig w:usb0="E00002FF" w:usb1="500078FF" w:usb2="00000029"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9A5C1" w14:textId="77777777" w:rsidR="009F78D4" w:rsidRDefault="009F78D4" w:rsidP="004F5E36">
      <w:r>
        <w:separator/>
      </w:r>
    </w:p>
  </w:footnote>
  <w:footnote w:type="continuationSeparator" w:id="0">
    <w:p w14:paraId="3DEA836B" w14:textId="77777777" w:rsidR="009F78D4" w:rsidRDefault="009F78D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58347BE"/>
    <w:multiLevelType w:val="hybridMultilevel"/>
    <w:tmpl w:val="33640F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3DD"/>
    <w:rsid w:val="00005C0A"/>
    <w:rsid w:val="00010ECB"/>
    <w:rsid w:val="000117CB"/>
    <w:rsid w:val="000134DE"/>
    <w:rsid w:val="00021AA7"/>
    <w:rsid w:val="000258A5"/>
    <w:rsid w:val="00030270"/>
    <w:rsid w:val="0003148D"/>
    <w:rsid w:val="00031EEC"/>
    <w:rsid w:val="00032C82"/>
    <w:rsid w:val="0004337A"/>
    <w:rsid w:val="00045766"/>
    <w:rsid w:val="00051566"/>
    <w:rsid w:val="000562A9"/>
    <w:rsid w:val="00062A9A"/>
    <w:rsid w:val="00065058"/>
    <w:rsid w:val="00072CED"/>
    <w:rsid w:val="00074B4B"/>
    <w:rsid w:val="0008244F"/>
    <w:rsid w:val="0008494B"/>
    <w:rsid w:val="00085198"/>
    <w:rsid w:val="00086C39"/>
    <w:rsid w:val="0008712B"/>
    <w:rsid w:val="000A03B2"/>
    <w:rsid w:val="000A1BD8"/>
    <w:rsid w:val="000B32EC"/>
    <w:rsid w:val="000B6D3E"/>
    <w:rsid w:val="000C1C74"/>
    <w:rsid w:val="000C54CD"/>
    <w:rsid w:val="000C6789"/>
    <w:rsid w:val="000D0268"/>
    <w:rsid w:val="000D255E"/>
    <w:rsid w:val="000D34BE"/>
    <w:rsid w:val="000E093B"/>
    <w:rsid w:val="000E102F"/>
    <w:rsid w:val="000E36F1"/>
    <w:rsid w:val="000E3A73"/>
    <w:rsid w:val="000E414A"/>
    <w:rsid w:val="000E516F"/>
    <w:rsid w:val="000F093C"/>
    <w:rsid w:val="000F787B"/>
    <w:rsid w:val="00117FF4"/>
    <w:rsid w:val="0012091F"/>
    <w:rsid w:val="0012096A"/>
    <w:rsid w:val="001219A6"/>
    <w:rsid w:val="00124D0E"/>
    <w:rsid w:val="00125770"/>
    <w:rsid w:val="00126BC2"/>
    <w:rsid w:val="001308B6"/>
    <w:rsid w:val="0013121F"/>
    <w:rsid w:val="00131FE6"/>
    <w:rsid w:val="0013263F"/>
    <w:rsid w:val="001331DF"/>
    <w:rsid w:val="001348A5"/>
    <w:rsid w:val="00134DE4"/>
    <w:rsid w:val="0014034D"/>
    <w:rsid w:val="00144D16"/>
    <w:rsid w:val="00150E59"/>
    <w:rsid w:val="00152DE3"/>
    <w:rsid w:val="00164CF9"/>
    <w:rsid w:val="001667A6"/>
    <w:rsid w:val="00166F76"/>
    <w:rsid w:val="00167109"/>
    <w:rsid w:val="00170C77"/>
    <w:rsid w:val="0018412C"/>
    <w:rsid w:val="00184AD6"/>
    <w:rsid w:val="00192B49"/>
    <w:rsid w:val="0019490F"/>
    <w:rsid w:val="001A3647"/>
    <w:rsid w:val="001A4AF7"/>
    <w:rsid w:val="001A4E1B"/>
    <w:rsid w:val="001B0349"/>
    <w:rsid w:val="001B1E93"/>
    <w:rsid w:val="001B24C3"/>
    <w:rsid w:val="001B65C1"/>
    <w:rsid w:val="001C684B"/>
    <w:rsid w:val="001D0CFB"/>
    <w:rsid w:val="001D21AF"/>
    <w:rsid w:val="001D53FC"/>
    <w:rsid w:val="001E2237"/>
    <w:rsid w:val="001E380C"/>
    <w:rsid w:val="001F0F4F"/>
    <w:rsid w:val="001F34C5"/>
    <w:rsid w:val="001F3A73"/>
    <w:rsid w:val="001F42A5"/>
    <w:rsid w:val="001F7B9D"/>
    <w:rsid w:val="00201C93"/>
    <w:rsid w:val="002022DE"/>
    <w:rsid w:val="00210C39"/>
    <w:rsid w:val="002121DF"/>
    <w:rsid w:val="002224B4"/>
    <w:rsid w:val="00230471"/>
    <w:rsid w:val="002447EF"/>
    <w:rsid w:val="00251550"/>
    <w:rsid w:val="002556DC"/>
    <w:rsid w:val="0026291F"/>
    <w:rsid w:val="00263B05"/>
    <w:rsid w:val="0027221A"/>
    <w:rsid w:val="00275B61"/>
    <w:rsid w:val="00280FAF"/>
    <w:rsid w:val="00282656"/>
    <w:rsid w:val="00296B83"/>
    <w:rsid w:val="002973B3"/>
    <w:rsid w:val="002B10CE"/>
    <w:rsid w:val="002B4015"/>
    <w:rsid w:val="002B598C"/>
    <w:rsid w:val="002B6B92"/>
    <w:rsid w:val="002B78CE"/>
    <w:rsid w:val="002C2FB6"/>
    <w:rsid w:val="002C536A"/>
    <w:rsid w:val="002D48C6"/>
    <w:rsid w:val="002E333C"/>
    <w:rsid w:val="002E5FA7"/>
    <w:rsid w:val="002F3309"/>
    <w:rsid w:val="002F4332"/>
    <w:rsid w:val="002F63E5"/>
    <w:rsid w:val="003008CE"/>
    <w:rsid w:val="003009B7"/>
    <w:rsid w:val="00300E56"/>
    <w:rsid w:val="0030152C"/>
    <w:rsid w:val="0030469C"/>
    <w:rsid w:val="00321CA6"/>
    <w:rsid w:val="00322E43"/>
    <w:rsid w:val="003236D5"/>
    <w:rsid w:val="00323763"/>
    <w:rsid w:val="00323C5F"/>
    <w:rsid w:val="00334C09"/>
    <w:rsid w:val="00345AF6"/>
    <w:rsid w:val="003472F5"/>
    <w:rsid w:val="00350071"/>
    <w:rsid w:val="0035345D"/>
    <w:rsid w:val="00356E2D"/>
    <w:rsid w:val="00362B2E"/>
    <w:rsid w:val="003654BF"/>
    <w:rsid w:val="00371C33"/>
    <w:rsid w:val="003723D4"/>
    <w:rsid w:val="00381905"/>
    <w:rsid w:val="00384CC8"/>
    <w:rsid w:val="00386B32"/>
    <w:rsid w:val="003871FD"/>
    <w:rsid w:val="00390E23"/>
    <w:rsid w:val="003968D3"/>
    <w:rsid w:val="003A1E30"/>
    <w:rsid w:val="003A2829"/>
    <w:rsid w:val="003A3EDB"/>
    <w:rsid w:val="003A6FC6"/>
    <w:rsid w:val="003A7D1C"/>
    <w:rsid w:val="003B304B"/>
    <w:rsid w:val="003B3146"/>
    <w:rsid w:val="003E1CC2"/>
    <w:rsid w:val="003E3AD9"/>
    <w:rsid w:val="003E6419"/>
    <w:rsid w:val="003F015E"/>
    <w:rsid w:val="003F4E2D"/>
    <w:rsid w:val="00400414"/>
    <w:rsid w:val="0040644B"/>
    <w:rsid w:val="00414051"/>
    <w:rsid w:val="0041446B"/>
    <w:rsid w:val="00435A05"/>
    <w:rsid w:val="0044071E"/>
    <w:rsid w:val="0044329C"/>
    <w:rsid w:val="00453E24"/>
    <w:rsid w:val="004561BB"/>
    <w:rsid w:val="00457456"/>
    <w:rsid w:val="004577FE"/>
    <w:rsid w:val="00457B9C"/>
    <w:rsid w:val="0046164A"/>
    <w:rsid w:val="004628D2"/>
    <w:rsid w:val="00462DCD"/>
    <w:rsid w:val="004648AD"/>
    <w:rsid w:val="00465E73"/>
    <w:rsid w:val="004703A9"/>
    <w:rsid w:val="004742EC"/>
    <w:rsid w:val="00474A22"/>
    <w:rsid w:val="00475959"/>
    <w:rsid w:val="004760DE"/>
    <w:rsid w:val="004763D7"/>
    <w:rsid w:val="00481156"/>
    <w:rsid w:val="004817F6"/>
    <w:rsid w:val="00492A3C"/>
    <w:rsid w:val="00497ABB"/>
    <w:rsid w:val="004A004E"/>
    <w:rsid w:val="004A1F55"/>
    <w:rsid w:val="004A24CF"/>
    <w:rsid w:val="004B2A9B"/>
    <w:rsid w:val="004C2F28"/>
    <w:rsid w:val="004C3D1D"/>
    <w:rsid w:val="004C3D84"/>
    <w:rsid w:val="004C6F93"/>
    <w:rsid w:val="004C7913"/>
    <w:rsid w:val="004E4DD6"/>
    <w:rsid w:val="004E651D"/>
    <w:rsid w:val="004E714A"/>
    <w:rsid w:val="004E7D4B"/>
    <w:rsid w:val="004F180E"/>
    <w:rsid w:val="004F189F"/>
    <w:rsid w:val="004F5E36"/>
    <w:rsid w:val="005017A4"/>
    <w:rsid w:val="00507B47"/>
    <w:rsid w:val="00507BEF"/>
    <w:rsid w:val="00507CC9"/>
    <w:rsid w:val="005119A5"/>
    <w:rsid w:val="00516AAC"/>
    <w:rsid w:val="00517114"/>
    <w:rsid w:val="00526604"/>
    <w:rsid w:val="005278B7"/>
    <w:rsid w:val="00532016"/>
    <w:rsid w:val="00532C38"/>
    <w:rsid w:val="005346C8"/>
    <w:rsid w:val="00534A59"/>
    <w:rsid w:val="00543E7D"/>
    <w:rsid w:val="00544946"/>
    <w:rsid w:val="00547A68"/>
    <w:rsid w:val="005531C9"/>
    <w:rsid w:val="00560F14"/>
    <w:rsid w:val="0056468A"/>
    <w:rsid w:val="0056757F"/>
    <w:rsid w:val="00570684"/>
    <w:rsid w:val="00570C43"/>
    <w:rsid w:val="005A7D04"/>
    <w:rsid w:val="005B2110"/>
    <w:rsid w:val="005B4F16"/>
    <w:rsid w:val="005B61E6"/>
    <w:rsid w:val="005C77E1"/>
    <w:rsid w:val="005D668A"/>
    <w:rsid w:val="005D6A2F"/>
    <w:rsid w:val="005E1A82"/>
    <w:rsid w:val="005E7348"/>
    <w:rsid w:val="005E794C"/>
    <w:rsid w:val="005E7C48"/>
    <w:rsid w:val="005F0A28"/>
    <w:rsid w:val="005F0E5E"/>
    <w:rsid w:val="005F330E"/>
    <w:rsid w:val="005F5EF4"/>
    <w:rsid w:val="005F6141"/>
    <w:rsid w:val="00600535"/>
    <w:rsid w:val="00610CD6"/>
    <w:rsid w:val="00620DEE"/>
    <w:rsid w:val="00621F92"/>
    <w:rsid w:val="0062280A"/>
    <w:rsid w:val="00625639"/>
    <w:rsid w:val="006269FC"/>
    <w:rsid w:val="006277CE"/>
    <w:rsid w:val="006306E2"/>
    <w:rsid w:val="00631B33"/>
    <w:rsid w:val="00640992"/>
    <w:rsid w:val="0064184D"/>
    <w:rsid w:val="006422CC"/>
    <w:rsid w:val="006428EC"/>
    <w:rsid w:val="0064502A"/>
    <w:rsid w:val="00651D1A"/>
    <w:rsid w:val="0065625F"/>
    <w:rsid w:val="00660E3E"/>
    <w:rsid w:val="00662E74"/>
    <w:rsid w:val="00667284"/>
    <w:rsid w:val="00673649"/>
    <w:rsid w:val="00680C23"/>
    <w:rsid w:val="00693766"/>
    <w:rsid w:val="0069396D"/>
    <w:rsid w:val="00695175"/>
    <w:rsid w:val="00697F96"/>
    <w:rsid w:val="006A3281"/>
    <w:rsid w:val="006B1EB3"/>
    <w:rsid w:val="006B2826"/>
    <w:rsid w:val="006B4888"/>
    <w:rsid w:val="006B6F19"/>
    <w:rsid w:val="006C031A"/>
    <w:rsid w:val="006C2E45"/>
    <w:rsid w:val="006C359C"/>
    <w:rsid w:val="006C4FBB"/>
    <w:rsid w:val="006C5579"/>
    <w:rsid w:val="006D0C40"/>
    <w:rsid w:val="006D1895"/>
    <w:rsid w:val="006D6E8B"/>
    <w:rsid w:val="006E737D"/>
    <w:rsid w:val="006F5E6E"/>
    <w:rsid w:val="00705228"/>
    <w:rsid w:val="00705EAF"/>
    <w:rsid w:val="00713973"/>
    <w:rsid w:val="00715705"/>
    <w:rsid w:val="00720A24"/>
    <w:rsid w:val="00732386"/>
    <w:rsid w:val="0073514D"/>
    <w:rsid w:val="00737082"/>
    <w:rsid w:val="00744747"/>
    <w:rsid w:val="007447F3"/>
    <w:rsid w:val="007468AA"/>
    <w:rsid w:val="0075499F"/>
    <w:rsid w:val="007661C8"/>
    <w:rsid w:val="00766A1B"/>
    <w:rsid w:val="0077098D"/>
    <w:rsid w:val="00773167"/>
    <w:rsid w:val="00773290"/>
    <w:rsid w:val="007829B6"/>
    <w:rsid w:val="00790179"/>
    <w:rsid w:val="007931FA"/>
    <w:rsid w:val="00796286"/>
    <w:rsid w:val="007A0CD9"/>
    <w:rsid w:val="007A0F6E"/>
    <w:rsid w:val="007A4861"/>
    <w:rsid w:val="007A749C"/>
    <w:rsid w:val="007A7BBA"/>
    <w:rsid w:val="007B0C50"/>
    <w:rsid w:val="007B48F9"/>
    <w:rsid w:val="007C1A43"/>
    <w:rsid w:val="007C1C1C"/>
    <w:rsid w:val="007C24CA"/>
    <w:rsid w:val="007D0951"/>
    <w:rsid w:val="007E1767"/>
    <w:rsid w:val="007E3276"/>
    <w:rsid w:val="007E7FCC"/>
    <w:rsid w:val="0080013E"/>
    <w:rsid w:val="008045E0"/>
    <w:rsid w:val="00805FAD"/>
    <w:rsid w:val="00807C05"/>
    <w:rsid w:val="00813288"/>
    <w:rsid w:val="008168FC"/>
    <w:rsid w:val="008215AA"/>
    <w:rsid w:val="00822AC2"/>
    <w:rsid w:val="00826A40"/>
    <w:rsid w:val="00830996"/>
    <w:rsid w:val="008345F1"/>
    <w:rsid w:val="00837075"/>
    <w:rsid w:val="00844CD9"/>
    <w:rsid w:val="00855CB6"/>
    <w:rsid w:val="00856BD2"/>
    <w:rsid w:val="008633A8"/>
    <w:rsid w:val="008657A1"/>
    <w:rsid w:val="00865B07"/>
    <w:rsid w:val="008667EA"/>
    <w:rsid w:val="0087637F"/>
    <w:rsid w:val="00892AD5"/>
    <w:rsid w:val="008A1512"/>
    <w:rsid w:val="008A6EDC"/>
    <w:rsid w:val="008B7C03"/>
    <w:rsid w:val="008C3DD8"/>
    <w:rsid w:val="008D1EEF"/>
    <w:rsid w:val="008D32B9"/>
    <w:rsid w:val="008D433B"/>
    <w:rsid w:val="008D4A16"/>
    <w:rsid w:val="008E2D7B"/>
    <w:rsid w:val="008E355A"/>
    <w:rsid w:val="008E566E"/>
    <w:rsid w:val="008F0761"/>
    <w:rsid w:val="008F16C4"/>
    <w:rsid w:val="0090161A"/>
    <w:rsid w:val="00901EB6"/>
    <w:rsid w:val="009034DD"/>
    <w:rsid w:val="00904566"/>
    <w:rsid w:val="00904C62"/>
    <w:rsid w:val="00922BA8"/>
    <w:rsid w:val="00924DAC"/>
    <w:rsid w:val="00927058"/>
    <w:rsid w:val="00932008"/>
    <w:rsid w:val="009366D3"/>
    <w:rsid w:val="00940ED0"/>
    <w:rsid w:val="00942750"/>
    <w:rsid w:val="009450CE"/>
    <w:rsid w:val="009459BB"/>
    <w:rsid w:val="00947179"/>
    <w:rsid w:val="00947B95"/>
    <w:rsid w:val="0095164B"/>
    <w:rsid w:val="009535DC"/>
    <w:rsid w:val="00954090"/>
    <w:rsid w:val="009573E7"/>
    <w:rsid w:val="00963E05"/>
    <w:rsid w:val="00964A45"/>
    <w:rsid w:val="00967843"/>
    <w:rsid w:val="00967D54"/>
    <w:rsid w:val="0097054A"/>
    <w:rsid w:val="00971028"/>
    <w:rsid w:val="0097457A"/>
    <w:rsid w:val="00992504"/>
    <w:rsid w:val="009935DB"/>
    <w:rsid w:val="00993B84"/>
    <w:rsid w:val="00996483"/>
    <w:rsid w:val="00996F5A"/>
    <w:rsid w:val="009B041A"/>
    <w:rsid w:val="009B0694"/>
    <w:rsid w:val="009B75FC"/>
    <w:rsid w:val="009C3353"/>
    <w:rsid w:val="009C37C3"/>
    <w:rsid w:val="009C6098"/>
    <w:rsid w:val="009C7C86"/>
    <w:rsid w:val="009C7FAA"/>
    <w:rsid w:val="009D2FF7"/>
    <w:rsid w:val="009E7884"/>
    <w:rsid w:val="009E788A"/>
    <w:rsid w:val="009F0E08"/>
    <w:rsid w:val="009F78D4"/>
    <w:rsid w:val="00A041BE"/>
    <w:rsid w:val="00A04D6E"/>
    <w:rsid w:val="00A05ABB"/>
    <w:rsid w:val="00A078EF"/>
    <w:rsid w:val="00A1763D"/>
    <w:rsid w:val="00A17CEC"/>
    <w:rsid w:val="00A20A9D"/>
    <w:rsid w:val="00A2235C"/>
    <w:rsid w:val="00A27EF0"/>
    <w:rsid w:val="00A36F82"/>
    <w:rsid w:val="00A42361"/>
    <w:rsid w:val="00A50B20"/>
    <w:rsid w:val="00A51390"/>
    <w:rsid w:val="00A5452E"/>
    <w:rsid w:val="00A60D13"/>
    <w:rsid w:val="00A62C20"/>
    <w:rsid w:val="00A64EFD"/>
    <w:rsid w:val="00A7118A"/>
    <w:rsid w:val="00A7223D"/>
    <w:rsid w:val="00A72745"/>
    <w:rsid w:val="00A76EFC"/>
    <w:rsid w:val="00A84451"/>
    <w:rsid w:val="00A87D50"/>
    <w:rsid w:val="00A91010"/>
    <w:rsid w:val="00A95842"/>
    <w:rsid w:val="00A97A9F"/>
    <w:rsid w:val="00A97F29"/>
    <w:rsid w:val="00AA4823"/>
    <w:rsid w:val="00AA702E"/>
    <w:rsid w:val="00AA7D26"/>
    <w:rsid w:val="00AB0964"/>
    <w:rsid w:val="00AB11BF"/>
    <w:rsid w:val="00AB4672"/>
    <w:rsid w:val="00AB5011"/>
    <w:rsid w:val="00AC1671"/>
    <w:rsid w:val="00AC7368"/>
    <w:rsid w:val="00AD16B9"/>
    <w:rsid w:val="00AD57B3"/>
    <w:rsid w:val="00AE32E6"/>
    <w:rsid w:val="00AE377D"/>
    <w:rsid w:val="00AF0CBC"/>
    <w:rsid w:val="00AF0EBA"/>
    <w:rsid w:val="00AF5A78"/>
    <w:rsid w:val="00B01396"/>
    <w:rsid w:val="00B01C05"/>
    <w:rsid w:val="00B02C8A"/>
    <w:rsid w:val="00B02CC0"/>
    <w:rsid w:val="00B06E41"/>
    <w:rsid w:val="00B17FBD"/>
    <w:rsid w:val="00B315A6"/>
    <w:rsid w:val="00B31813"/>
    <w:rsid w:val="00B33365"/>
    <w:rsid w:val="00B37A3E"/>
    <w:rsid w:val="00B57B36"/>
    <w:rsid w:val="00B57E54"/>
    <w:rsid w:val="00B57E6F"/>
    <w:rsid w:val="00B62552"/>
    <w:rsid w:val="00B6797E"/>
    <w:rsid w:val="00B71A97"/>
    <w:rsid w:val="00B723AA"/>
    <w:rsid w:val="00B82090"/>
    <w:rsid w:val="00B83A5A"/>
    <w:rsid w:val="00B8686D"/>
    <w:rsid w:val="00B878D4"/>
    <w:rsid w:val="00B87BAA"/>
    <w:rsid w:val="00B93F69"/>
    <w:rsid w:val="00BA2CDF"/>
    <w:rsid w:val="00BB1DDC"/>
    <w:rsid w:val="00BB4AEE"/>
    <w:rsid w:val="00BC30C9"/>
    <w:rsid w:val="00BD077D"/>
    <w:rsid w:val="00BD3481"/>
    <w:rsid w:val="00BE3E58"/>
    <w:rsid w:val="00BE637E"/>
    <w:rsid w:val="00BF55A1"/>
    <w:rsid w:val="00C01616"/>
    <w:rsid w:val="00C0162B"/>
    <w:rsid w:val="00C04AAE"/>
    <w:rsid w:val="00C068ED"/>
    <w:rsid w:val="00C0782F"/>
    <w:rsid w:val="00C167FF"/>
    <w:rsid w:val="00C22E0C"/>
    <w:rsid w:val="00C345B1"/>
    <w:rsid w:val="00C40142"/>
    <w:rsid w:val="00C42B41"/>
    <w:rsid w:val="00C52C3C"/>
    <w:rsid w:val="00C57182"/>
    <w:rsid w:val="00C57863"/>
    <w:rsid w:val="00C640AF"/>
    <w:rsid w:val="00C655FD"/>
    <w:rsid w:val="00C65C41"/>
    <w:rsid w:val="00C75407"/>
    <w:rsid w:val="00C77C1A"/>
    <w:rsid w:val="00C870A8"/>
    <w:rsid w:val="00C94434"/>
    <w:rsid w:val="00CA0D4A"/>
    <w:rsid w:val="00CA0D75"/>
    <w:rsid w:val="00CA1C95"/>
    <w:rsid w:val="00CA5A9C"/>
    <w:rsid w:val="00CB0EC4"/>
    <w:rsid w:val="00CC0800"/>
    <w:rsid w:val="00CC1E7B"/>
    <w:rsid w:val="00CC3104"/>
    <w:rsid w:val="00CC4C20"/>
    <w:rsid w:val="00CD3517"/>
    <w:rsid w:val="00CD5C57"/>
    <w:rsid w:val="00CD5FE2"/>
    <w:rsid w:val="00CD6F77"/>
    <w:rsid w:val="00CE5C31"/>
    <w:rsid w:val="00CE6A06"/>
    <w:rsid w:val="00CE7C68"/>
    <w:rsid w:val="00CF0F6A"/>
    <w:rsid w:val="00D02B4C"/>
    <w:rsid w:val="00D040C4"/>
    <w:rsid w:val="00D04B52"/>
    <w:rsid w:val="00D15F9F"/>
    <w:rsid w:val="00D20AD1"/>
    <w:rsid w:val="00D22CF2"/>
    <w:rsid w:val="00D23222"/>
    <w:rsid w:val="00D2429A"/>
    <w:rsid w:val="00D26066"/>
    <w:rsid w:val="00D26FDD"/>
    <w:rsid w:val="00D336CC"/>
    <w:rsid w:val="00D424CF"/>
    <w:rsid w:val="00D444F6"/>
    <w:rsid w:val="00D44C08"/>
    <w:rsid w:val="00D46B7E"/>
    <w:rsid w:val="00D57C84"/>
    <w:rsid w:val="00D6057D"/>
    <w:rsid w:val="00D6144A"/>
    <w:rsid w:val="00D61AEE"/>
    <w:rsid w:val="00D648EC"/>
    <w:rsid w:val="00D71640"/>
    <w:rsid w:val="00D836C5"/>
    <w:rsid w:val="00D84576"/>
    <w:rsid w:val="00D95352"/>
    <w:rsid w:val="00DA1399"/>
    <w:rsid w:val="00DA24C6"/>
    <w:rsid w:val="00DA2E93"/>
    <w:rsid w:val="00DA417D"/>
    <w:rsid w:val="00DA4D7B"/>
    <w:rsid w:val="00DA4F18"/>
    <w:rsid w:val="00DB1571"/>
    <w:rsid w:val="00DC070F"/>
    <w:rsid w:val="00DD1346"/>
    <w:rsid w:val="00DD271C"/>
    <w:rsid w:val="00DD416B"/>
    <w:rsid w:val="00DE264A"/>
    <w:rsid w:val="00DE3FD9"/>
    <w:rsid w:val="00DF1F4C"/>
    <w:rsid w:val="00DF5072"/>
    <w:rsid w:val="00DF65ED"/>
    <w:rsid w:val="00E0074F"/>
    <w:rsid w:val="00E02D18"/>
    <w:rsid w:val="00E02E6E"/>
    <w:rsid w:val="00E03D3F"/>
    <w:rsid w:val="00E041E7"/>
    <w:rsid w:val="00E15238"/>
    <w:rsid w:val="00E17B46"/>
    <w:rsid w:val="00E23CA1"/>
    <w:rsid w:val="00E24C5E"/>
    <w:rsid w:val="00E26427"/>
    <w:rsid w:val="00E33DD7"/>
    <w:rsid w:val="00E36438"/>
    <w:rsid w:val="00E409A8"/>
    <w:rsid w:val="00E42B49"/>
    <w:rsid w:val="00E50C12"/>
    <w:rsid w:val="00E50E58"/>
    <w:rsid w:val="00E65B91"/>
    <w:rsid w:val="00E7209D"/>
    <w:rsid w:val="00E72EAD"/>
    <w:rsid w:val="00E74A52"/>
    <w:rsid w:val="00E77223"/>
    <w:rsid w:val="00E8528B"/>
    <w:rsid w:val="00E85B94"/>
    <w:rsid w:val="00E978D0"/>
    <w:rsid w:val="00EA1FA1"/>
    <w:rsid w:val="00EA4613"/>
    <w:rsid w:val="00EA7F91"/>
    <w:rsid w:val="00EB1523"/>
    <w:rsid w:val="00EB510E"/>
    <w:rsid w:val="00EC0E49"/>
    <w:rsid w:val="00EC101F"/>
    <w:rsid w:val="00EC1D9F"/>
    <w:rsid w:val="00EC5F0F"/>
    <w:rsid w:val="00ED001E"/>
    <w:rsid w:val="00ED463C"/>
    <w:rsid w:val="00EE0131"/>
    <w:rsid w:val="00EE17B0"/>
    <w:rsid w:val="00EF06D9"/>
    <w:rsid w:val="00EF283E"/>
    <w:rsid w:val="00EF722C"/>
    <w:rsid w:val="00F010B3"/>
    <w:rsid w:val="00F02164"/>
    <w:rsid w:val="00F03845"/>
    <w:rsid w:val="00F11521"/>
    <w:rsid w:val="00F155E6"/>
    <w:rsid w:val="00F20037"/>
    <w:rsid w:val="00F21003"/>
    <w:rsid w:val="00F22272"/>
    <w:rsid w:val="00F23887"/>
    <w:rsid w:val="00F24B0E"/>
    <w:rsid w:val="00F270F9"/>
    <w:rsid w:val="00F3049E"/>
    <w:rsid w:val="00F30C64"/>
    <w:rsid w:val="00F323B9"/>
    <w:rsid w:val="00F32BA2"/>
    <w:rsid w:val="00F32CDB"/>
    <w:rsid w:val="00F37C3C"/>
    <w:rsid w:val="00F565FE"/>
    <w:rsid w:val="00F6307B"/>
    <w:rsid w:val="00F63A70"/>
    <w:rsid w:val="00F63D8C"/>
    <w:rsid w:val="00F66054"/>
    <w:rsid w:val="00F7534E"/>
    <w:rsid w:val="00F904BE"/>
    <w:rsid w:val="00F90D30"/>
    <w:rsid w:val="00F93EDF"/>
    <w:rsid w:val="00F96FE2"/>
    <w:rsid w:val="00FA1802"/>
    <w:rsid w:val="00FA21D0"/>
    <w:rsid w:val="00FA5F5F"/>
    <w:rsid w:val="00FB48B1"/>
    <w:rsid w:val="00FB730C"/>
    <w:rsid w:val="00FC04B4"/>
    <w:rsid w:val="00FC2695"/>
    <w:rsid w:val="00FC3E03"/>
    <w:rsid w:val="00FC3FC1"/>
    <w:rsid w:val="00FD2EF1"/>
    <w:rsid w:val="00FD7D80"/>
    <w:rsid w:val="00FE2DC6"/>
    <w:rsid w:val="00FE305F"/>
    <w:rsid w:val="00FF1E07"/>
    <w:rsid w:val="00FF551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aliases w:val="CET Top_page"/>
    <w:rsid w:val="001F3A73"/>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semiHidden/>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
    <w:name w:val="E-mail Signature"/>
    <w:basedOn w:val="Norml"/>
    <w:link w:val="E-mail-alrsChar"/>
    <w:uiPriority w:val="99"/>
    <w:semiHidden/>
    <w:unhideWhenUsed/>
    <w:rsid w:val="0003148D"/>
    <w:pPr>
      <w:spacing w:line="240" w:lineRule="auto"/>
    </w:pPr>
  </w:style>
  <w:style w:type="character" w:customStyle="1" w:styleId="E-mail-alrsChar">
    <w:name w:val="E-mail-aláírás Char"/>
    <w:basedOn w:val="Bekezdsalapbettpusa"/>
    <w:link w:val="E-mail-alrs"/>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qFormat/>
    <w:rsid w:val="00280FAF"/>
    <w:pPr>
      <w:ind w:left="720"/>
      <w:contextualSpacing/>
    </w:pPr>
  </w:style>
  <w:style w:type="character" w:styleId="Feloldatlanmegemlts">
    <w:name w:val="Unresolved Mention"/>
    <w:basedOn w:val="Bekezdsalapbettpusa"/>
    <w:uiPriority w:val="99"/>
    <w:semiHidden/>
    <w:unhideWhenUsed/>
    <w:rsid w:val="000A1BD8"/>
    <w:rPr>
      <w:color w:val="605E5C"/>
      <w:shd w:val="clear" w:color="auto" w:fill="E1DFDD"/>
    </w:rPr>
  </w:style>
  <w:style w:type="paragraph" w:customStyle="1" w:styleId="AMT-IRODALOM">
    <w:name w:val="AMT-IRODALOM"/>
    <w:basedOn w:val="Norml"/>
    <w:qFormat/>
    <w:rsid w:val="004C2F28"/>
    <w:pPr>
      <w:tabs>
        <w:tab w:val="clear" w:pos="7100"/>
      </w:tabs>
      <w:spacing w:line="240" w:lineRule="auto"/>
      <w:ind w:left="284" w:hanging="284"/>
    </w:pPr>
    <w:rPr>
      <w:rFonts w:ascii="Noto Serif" w:eastAsia="Calibri" w:hAnsi="Noto Serif" w:cs="Noto Serif"/>
      <w:sz w:val="16"/>
      <w:szCs w:val="16"/>
      <w:lang w:val="en"/>
    </w:rPr>
  </w:style>
  <w:style w:type="character" w:customStyle="1" w:styleId="hwtze">
    <w:name w:val="hwtze"/>
    <w:basedOn w:val="Bekezdsalapbettpusa"/>
    <w:rsid w:val="00F323B9"/>
  </w:style>
  <w:style w:type="character" w:customStyle="1" w:styleId="rynqvb">
    <w:name w:val="rynqvb"/>
    <w:basedOn w:val="Bekezdsalapbettpusa"/>
    <w:rsid w:val="00F32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gy.roland.dr@mk.uni-pannon.h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molonline-my.sharepoint.com/personal/gznagy_molgroup_info/Documents/Documents/-=PhD=-/Tanulm&#225;nyok/1.%20f&#233;l&#233;v/Kutat&#225;s/Alapanyagok%20&#233;s%20adal&#233;ko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hu-HU" sz="1000" b="1" i="0" baseline="0">
                <a:solidFill>
                  <a:sysClr val="windowText" lastClr="000000"/>
                </a:solidFill>
                <a:effectLst/>
                <a:latin typeface="Arial" panose="020B0604020202020204" pitchFamily="34" charset="0"/>
                <a:cs typeface="Arial" panose="020B0604020202020204" pitchFamily="34" charset="0"/>
              </a:rPr>
              <a:t>Four-ball test weld load</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hu-HU"/>
        </a:p>
      </c:txPr>
    </c:title>
    <c:autoTitleDeleted val="0"/>
    <c:plotArea>
      <c:layout/>
      <c:lineChart>
        <c:grouping val="standard"/>
        <c:varyColors val="0"/>
        <c:ser>
          <c:idx val="0"/>
          <c:order val="0"/>
          <c:spPr>
            <a:ln w="25400" cap="rnd">
              <a:noFill/>
              <a:round/>
            </a:ln>
            <a:effectLst/>
          </c:spPr>
          <c:marker>
            <c:symbol val="square"/>
            <c:size val="8"/>
            <c:spPr>
              <a:solidFill>
                <a:schemeClr val="tx1"/>
              </a:solidFill>
              <a:ln w="9525">
                <a:noFill/>
              </a:ln>
              <a:effectLst/>
            </c:spPr>
          </c:marker>
          <c:cat>
            <c:strRef>
              <c:f>'MDPI Materials 2023'!$G$231:$G$235</c:f>
              <c:strCache>
                <c:ptCount val="5"/>
                <c:pt idx="0">
                  <c:v>Additive-1</c:v>
                </c:pt>
                <c:pt idx="1">
                  <c:v>Additive-2</c:v>
                </c:pt>
                <c:pt idx="2">
                  <c:v>Additive-3</c:v>
                </c:pt>
                <c:pt idx="3">
                  <c:v>Additive-4</c:v>
                </c:pt>
                <c:pt idx="4">
                  <c:v>Additive-5</c:v>
                </c:pt>
              </c:strCache>
            </c:strRef>
          </c:cat>
          <c:val>
            <c:numRef>
              <c:f>'MDPI Materials 2023'!$H$231:$H$235</c:f>
              <c:numCache>
                <c:formatCode>General</c:formatCode>
                <c:ptCount val="5"/>
                <c:pt idx="0">
                  <c:v>2300</c:v>
                </c:pt>
                <c:pt idx="1">
                  <c:v>2300</c:v>
                </c:pt>
                <c:pt idx="2">
                  <c:v>1600</c:v>
                </c:pt>
                <c:pt idx="3">
                  <c:v>2000</c:v>
                </c:pt>
                <c:pt idx="4">
                  <c:v>2400</c:v>
                </c:pt>
              </c:numCache>
            </c:numRef>
          </c:val>
          <c:smooth val="0"/>
          <c:extLst>
            <c:ext xmlns:c16="http://schemas.microsoft.com/office/drawing/2014/chart" uri="{C3380CC4-5D6E-409C-BE32-E72D297353CC}">
              <c16:uniqueId val="{00000000-3BE5-48F4-9000-DB3E66B7C0E8}"/>
            </c:ext>
          </c:extLst>
        </c:ser>
        <c:dLbls>
          <c:showLegendKey val="0"/>
          <c:showVal val="0"/>
          <c:showCatName val="0"/>
          <c:showSerName val="0"/>
          <c:showPercent val="0"/>
          <c:showBubbleSize val="0"/>
        </c:dLbls>
        <c:marker val="1"/>
        <c:smooth val="0"/>
        <c:axId val="1236314824"/>
        <c:axId val="1236307280"/>
      </c:lineChart>
      <c:catAx>
        <c:axId val="123631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hu-HU"/>
          </a:p>
        </c:txPr>
        <c:crossAx val="1236307280"/>
        <c:crosses val="autoZero"/>
        <c:auto val="1"/>
        <c:lblAlgn val="ctr"/>
        <c:lblOffset val="100"/>
        <c:noMultiLvlLbl val="0"/>
      </c:catAx>
      <c:valAx>
        <c:axId val="1236307280"/>
        <c:scaling>
          <c:orientation val="minMax"/>
          <c:max val="2500"/>
          <c:min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1" i="0" u="none" strike="noStrike" baseline="0">
                    <a:effectLst/>
                  </a:rPr>
                  <a:t>Four-ball test - weld load [DIN 51350-4:2015], N</a:t>
                </a:r>
                <a:endParaRPr lang="hu-HU" sz="9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2822480107835913E-2"/>
              <c:y val="0.1649320105820105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hu-H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hu-HU"/>
          </a:p>
        </c:txPr>
        <c:crossAx val="1236314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hu-HU" sz="1000" b="1" i="0" baseline="0">
                <a:solidFill>
                  <a:sysClr val="windowText" lastClr="000000"/>
                </a:solidFill>
                <a:effectLst/>
                <a:latin typeface="Arial" panose="020B0604020202020204" pitchFamily="34" charset="0"/>
                <a:cs typeface="Arial" panose="020B0604020202020204" pitchFamily="34" charset="0"/>
              </a:rPr>
              <a:t>Four-ball test scar diameter</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hu-HU"/>
        </a:p>
      </c:txPr>
    </c:title>
    <c:autoTitleDeleted val="0"/>
    <c:plotArea>
      <c:layout/>
      <c:lineChart>
        <c:grouping val="standard"/>
        <c:varyColors val="0"/>
        <c:ser>
          <c:idx val="0"/>
          <c:order val="0"/>
          <c:spPr>
            <a:ln w="25400" cap="rnd">
              <a:noFill/>
              <a:round/>
            </a:ln>
            <a:effectLst/>
          </c:spPr>
          <c:marker>
            <c:symbol val="triangle"/>
            <c:size val="8"/>
            <c:spPr>
              <a:solidFill>
                <a:schemeClr val="tx1"/>
              </a:solidFill>
              <a:ln w="9525">
                <a:noFill/>
              </a:ln>
              <a:effectLst/>
            </c:spPr>
          </c:marker>
          <c:cat>
            <c:strRef>
              <c:f>'MDPI Materials 2023'!$G$231:$G$235</c:f>
              <c:strCache>
                <c:ptCount val="5"/>
                <c:pt idx="0">
                  <c:v>Additive-1</c:v>
                </c:pt>
                <c:pt idx="1">
                  <c:v>Additive-2</c:v>
                </c:pt>
                <c:pt idx="2">
                  <c:v>Additive-3</c:v>
                </c:pt>
                <c:pt idx="3">
                  <c:v>Additive-4</c:v>
                </c:pt>
                <c:pt idx="4">
                  <c:v>Additive-5</c:v>
                </c:pt>
              </c:strCache>
            </c:strRef>
          </c:cat>
          <c:val>
            <c:numRef>
              <c:f>'MDPI Materials 2023'!$I$231:$I$235</c:f>
              <c:numCache>
                <c:formatCode>#,##0.00</c:formatCode>
                <c:ptCount val="5"/>
                <c:pt idx="0">
                  <c:v>0.54</c:v>
                </c:pt>
                <c:pt idx="1">
                  <c:v>0.52</c:v>
                </c:pt>
                <c:pt idx="2">
                  <c:v>0.88</c:v>
                </c:pt>
                <c:pt idx="3">
                  <c:v>0.49</c:v>
                </c:pt>
                <c:pt idx="4">
                  <c:v>0.56000000000000005</c:v>
                </c:pt>
              </c:numCache>
            </c:numRef>
          </c:val>
          <c:smooth val="0"/>
          <c:extLst>
            <c:ext xmlns:c16="http://schemas.microsoft.com/office/drawing/2014/chart" uri="{C3380CC4-5D6E-409C-BE32-E72D297353CC}">
              <c16:uniqueId val="{00000000-2AAB-48DA-B37D-431FD452C9B2}"/>
            </c:ext>
          </c:extLst>
        </c:ser>
        <c:dLbls>
          <c:showLegendKey val="0"/>
          <c:showVal val="0"/>
          <c:showCatName val="0"/>
          <c:showSerName val="0"/>
          <c:showPercent val="0"/>
          <c:showBubbleSize val="0"/>
        </c:dLbls>
        <c:marker val="1"/>
        <c:smooth val="0"/>
        <c:axId val="1236314824"/>
        <c:axId val="1236307280"/>
      </c:lineChart>
      <c:catAx>
        <c:axId val="123631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hu-HU"/>
          </a:p>
        </c:txPr>
        <c:crossAx val="1236307280"/>
        <c:crosses val="autoZero"/>
        <c:auto val="1"/>
        <c:lblAlgn val="ctr"/>
        <c:lblOffset val="100"/>
        <c:noMultiLvlLbl val="0"/>
      </c:catAx>
      <c:valAx>
        <c:axId val="1236307280"/>
        <c:scaling>
          <c:orientation val="minMax"/>
          <c:max val="1"/>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1" i="0" u="none" strike="noStrike" baseline="0">
                    <a:effectLst/>
                  </a:rPr>
                  <a:t>Four-ball test - </a:t>
                </a:r>
                <a:r>
                  <a:rPr lang="hu-HU" sz="900" b="1" i="0" u="none" strike="noStrike" baseline="0">
                    <a:effectLst/>
                  </a:rPr>
                  <a:t>scar diameter </a:t>
                </a:r>
                <a:r>
                  <a:rPr lang="en-US" sz="900" b="1" i="0" u="none" strike="noStrike" baseline="0">
                    <a:effectLst/>
                  </a:rPr>
                  <a:t>[DIN 51350-</a:t>
                </a:r>
                <a:r>
                  <a:rPr lang="hu-HU" sz="900" b="1" i="0" u="none" strike="noStrike" baseline="0">
                    <a:effectLst/>
                  </a:rPr>
                  <a:t>5</a:t>
                </a:r>
                <a:r>
                  <a:rPr lang="en-US" sz="900" b="1" i="0" u="none" strike="noStrike" baseline="0">
                    <a:effectLst/>
                  </a:rPr>
                  <a:t>:2015], N</a:t>
                </a:r>
                <a:endParaRPr lang="hu-HU" sz="9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2822480107835913E-2"/>
              <c:y val="0.1649320105820105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hu-H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hu-HU"/>
          </a:p>
        </c:txPr>
        <c:crossAx val="1236314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22E0EDF5A49E4387B332CD7C624F4D" ma:contentTypeVersion="14" ma:contentTypeDescription="Create a new document." ma:contentTypeScope="" ma:versionID="f73bc3ab75fdffdd545cbc7d24613bf3">
  <xsd:schema xmlns:xsd="http://www.w3.org/2001/XMLSchema" xmlns:xs="http://www.w3.org/2001/XMLSchema" xmlns:p="http://schemas.microsoft.com/office/2006/metadata/properties" xmlns:ns3="e7993bf4-2b88-414b-abde-34932433b3d2" xmlns:ns4="f9afcf8f-b0b6-4749-93c4-33bb1cc6e8b7" targetNamespace="http://schemas.microsoft.com/office/2006/metadata/properties" ma:root="true" ma:fieldsID="0f273ba3dcac4527020c8e78a4d2f19d" ns3:_="" ns4:_="">
    <xsd:import namespace="e7993bf4-2b88-414b-abde-34932433b3d2"/>
    <xsd:import namespace="f9afcf8f-b0b6-4749-93c4-33bb1cc6e8b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93bf4-2b88-414b-abde-34932433b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afcf8f-b0b6-4749-93c4-33bb1cc6e8b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F1542-B129-42D6-B1DF-B4433F6299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CC0547-E06D-42DE-AE7E-DBE1DE9D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93bf4-2b88-414b-abde-34932433b3d2"/>
    <ds:schemaRef ds:uri="f9afcf8f-b0b6-4749-93c4-33bb1cc6e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E2294-EC0B-49F8-93E3-71192C1BB081}">
  <ds:schemaRefs>
    <ds:schemaRef ds:uri="http://schemas.microsoft.com/sharepoint/v3/contenttype/forms"/>
  </ds:schemaRefs>
</ds:datastoreItem>
</file>

<file path=customXml/itemProps4.xml><?xml version="1.0" encoding="utf-8"?>
<ds:datastoreItem xmlns:ds="http://schemas.openxmlformats.org/officeDocument/2006/customXml" ds:itemID="{8E41FBA5-76C7-4976-BED8-C245AD9A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2230</Words>
  <Characters>15393</Characters>
  <Application>Microsoft Office Word</Application>
  <DocSecurity>0</DocSecurity>
  <Lines>128</Lines>
  <Paragraphs>35</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Study on sulfurized vegetable oil type Extreme Pressure additives</vt:lpstr>
      <vt:lpstr/>
      <vt:lpstr/>
    </vt:vector>
  </TitlesOfParts>
  <Company>Dipartimento CMIC - Politecnico di Milano</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on sulfurized vegetable oil type Extreme Pressure additives</dc:title>
  <dc:creator>raffaella</dc:creator>
  <cp:keywords>extreme pressure, additive, vegetable oil, sulfurized oil</cp:keywords>
  <cp:lastModifiedBy>Dr. Nagy Roland</cp:lastModifiedBy>
  <cp:revision>4</cp:revision>
  <cp:lastPrinted>2015-05-12T18:31:00Z</cp:lastPrinted>
  <dcterms:created xsi:type="dcterms:W3CDTF">2023-06-22T11:28:00Z</dcterms:created>
  <dcterms:modified xsi:type="dcterms:W3CDTF">2023-06-22T11:44:00Z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0x0101006022E0EDF5A49E4387B332CD7C624F4D</vt:lpwstr>
  </property>
  <property fmtid="{D5CDD505-2E9C-101B-9397-08002B2CF9AE}" pid="5" name="GrammarlyDocumentId">
    <vt:lpwstr>fd9ac3fb1d91eaae15abba26d6f712530e298fa3bd0876666467cc6ca9807e4a</vt:lpwstr>
  </property>
</Properties>
</file>